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9128E">
      <w:pPr>
        <w:spacing w:line="276" w:lineRule="auto"/>
        <w:rPr>
          <w:rFonts w:ascii="仿宋" w:hAnsi="仿宋" w:eastAsia="仿宋"/>
          <w:color w:val="000000" w:themeColor="text1"/>
          <w:sz w:val="32"/>
          <w:szCs w:val="32"/>
          <w14:textFill>
            <w14:solidFill>
              <w14:schemeClr w14:val="tx1"/>
            </w14:solidFill>
          </w14:textFill>
        </w:rPr>
      </w:pPr>
    </w:p>
    <w:p w14:paraId="32D9128F">
      <w:pPr>
        <w:spacing w:line="276" w:lineRule="auto"/>
        <w:rPr>
          <w:rFonts w:hint="eastAsia" w:ascii="仿宋" w:hAnsi="仿宋" w:eastAsia="仿宋"/>
          <w:color w:val="000000" w:themeColor="text1"/>
          <w:sz w:val="32"/>
          <w:szCs w:val="32"/>
          <w14:textFill>
            <w14:solidFill>
              <w14:schemeClr w14:val="tx1"/>
            </w14:solidFill>
          </w14:textFill>
        </w:rPr>
      </w:pPr>
    </w:p>
    <w:p w14:paraId="32D91290">
      <w:pPr>
        <w:spacing w:line="276" w:lineRule="auto"/>
        <w:rPr>
          <w:rFonts w:hint="eastAsia" w:ascii="仿宋" w:hAnsi="仿宋" w:eastAsia="仿宋"/>
          <w:color w:val="000000" w:themeColor="text1"/>
          <w:sz w:val="40"/>
          <w:szCs w:val="40"/>
          <w14:textFill>
            <w14:solidFill>
              <w14:schemeClr w14:val="tx1"/>
            </w14:solidFill>
          </w14:textFill>
        </w:rPr>
      </w:pPr>
    </w:p>
    <w:p w14:paraId="32D91291">
      <w:pPr>
        <w:spacing w:line="276" w:lineRule="auto"/>
        <w:rPr>
          <w:rFonts w:hint="eastAsia" w:ascii="仿宋" w:hAnsi="仿宋" w:eastAsia="仿宋"/>
          <w:color w:val="000000" w:themeColor="text1"/>
          <w:sz w:val="40"/>
          <w:szCs w:val="40"/>
          <w14:textFill>
            <w14:solidFill>
              <w14:schemeClr w14:val="tx1"/>
            </w14:solidFill>
          </w14:textFill>
        </w:rPr>
      </w:pPr>
    </w:p>
    <w:p w14:paraId="32D91292">
      <w:pPr>
        <w:spacing w:line="276" w:lineRule="auto"/>
        <w:jc w:val="center"/>
        <w:rPr>
          <w:rFonts w:hint="eastAsia" w:ascii="仿宋" w:hAnsi="仿宋" w:eastAsia="仿宋"/>
          <w:color w:val="000000" w:themeColor="text1"/>
          <w:sz w:val="40"/>
          <w:szCs w:val="40"/>
          <w:u w:val="single"/>
          <w14:textFill>
            <w14:solidFill>
              <w14:schemeClr w14:val="tx1"/>
            </w14:solidFill>
          </w14:textFill>
        </w:rPr>
      </w:pPr>
      <w:bookmarkStart w:id="0" w:name="_Hlk525848155"/>
      <w:r>
        <w:rPr>
          <w:rFonts w:hint="eastAsia" w:ascii="仿宋" w:hAnsi="仿宋" w:eastAsia="仿宋"/>
          <w:color w:val="000000" w:themeColor="text1"/>
          <w:sz w:val="40"/>
          <w:szCs w:val="40"/>
          <w14:textFill>
            <w14:solidFill>
              <w14:schemeClr w14:val="tx1"/>
            </w14:solidFill>
          </w14:textFill>
        </w:rPr>
        <w:t>浙江大学国际联合学院（海宁国际校区）</w:t>
      </w:r>
    </w:p>
    <w:p w14:paraId="32D91293">
      <w:pPr>
        <w:spacing w:line="276" w:lineRule="auto"/>
        <w:jc w:val="center"/>
        <w:rPr>
          <w:rFonts w:hint="eastAsia" w:ascii="仿宋" w:hAnsi="仿宋" w:eastAsia="仿宋"/>
          <w:color w:val="000000" w:themeColor="text1"/>
          <w:sz w:val="40"/>
          <w:szCs w:val="40"/>
          <w14:textFill>
            <w14:solidFill>
              <w14:schemeClr w14:val="tx1"/>
            </w14:solidFill>
          </w14:textFill>
        </w:rPr>
      </w:pPr>
      <w:r>
        <w:rPr>
          <w:rFonts w:ascii="仿宋" w:hAnsi="仿宋" w:eastAsia="仿宋"/>
          <w:color w:val="000000" w:themeColor="text1"/>
          <w:sz w:val="40"/>
          <w:szCs w:val="40"/>
          <w14:textFill>
            <w14:solidFill>
              <w14:schemeClr w14:val="tx1"/>
            </w14:solidFill>
          </w14:textFill>
        </w:rPr>
        <w:t>图书馆瀑布流电子借阅系统项目</w:t>
      </w:r>
      <w:bookmarkEnd w:id="0"/>
    </w:p>
    <w:p w14:paraId="32D91294">
      <w:pPr>
        <w:spacing w:line="276" w:lineRule="auto"/>
        <w:jc w:val="center"/>
        <w:rPr>
          <w:rFonts w:hint="eastAsia" w:ascii="仿宋" w:hAnsi="仿宋" w:eastAsia="仿宋"/>
          <w:color w:val="000000" w:themeColor="text1"/>
          <w:sz w:val="40"/>
          <w:szCs w:val="40"/>
          <w14:textFill>
            <w14:solidFill>
              <w14:schemeClr w14:val="tx1"/>
            </w14:solidFill>
          </w14:textFill>
        </w:rPr>
      </w:pPr>
    </w:p>
    <w:p w14:paraId="32D91295">
      <w:pPr>
        <w:spacing w:line="276" w:lineRule="auto"/>
        <w:jc w:val="center"/>
        <w:rPr>
          <w:rFonts w:hint="eastAsia" w:ascii="仿宋" w:hAnsi="仿宋" w:eastAsia="仿宋"/>
          <w:color w:val="000000" w:themeColor="text1"/>
          <w:sz w:val="40"/>
          <w:szCs w:val="40"/>
          <w14:textFill>
            <w14:solidFill>
              <w14:schemeClr w14:val="tx1"/>
            </w14:solidFill>
          </w14:textFill>
        </w:rPr>
      </w:pPr>
    </w:p>
    <w:p w14:paraId="32D91296">
      <w:pPr>
        <w:spacing w:line="276" w:lineRule="auto"/>
        <w:jc w:val="center"/>
        <w:rPr>
          <w:rFonts w:hint="eastAsia" w:ascii="仿宋" w:hAnsi="仿宋" w:eastAsia="仿宋"/>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询价文件</w:t>
      </w:r>
    </w:p>
    <w:p w14:paraId="32D91297">
      <w:pPr>
        <w:spacing w:line="276" w:lineRule="auto"/>
        <w:rPr>
          <w:rFonts w:hint="eastAsia" w:ascii="仿宋" w:hAnsi="仿宋" w:eastAsia="仿宋"/>
          <w:color w:val="000000" w:themeColor="text1"/>
          <w:sz w:val="40"/>
          <w:szCs w:val="40"/>
          <w14:textFill>
            <w14:solidFill>
              <w14:schemeClr w14:val="tx1"/>
            </w14:solidFill>
          </w14:textFill>
        </w:rPr>
      </w:pPr>
    </w:p>
    <w:p w14:paraId="32D91298">
      <w:pPr>
        <w:spacing w:line="276" w:lineRule="auto"/>
        <w:rPr>
          <w:rFonts w:hint="eastAsia" w:ascii="仿宋" w:hAnsi="仿宋" w:eastAsia="仿宋"/>
          <w:color w:val="000000" w:themeColor="text1"/>
          <w:sz w:val="40"/>
          <w:szCs w:val="40"/>
          <w14:textFill>
            <w14:solidFill>
              <w14:schemeClr w14:val="tx1"/>
            </w14:solidFill>
          </w14:textFill>
        </w:rPr>
      </w:pPr>
    </w:p>
    <w:p w14:paraId="32D91299">
      <w:pPr>
        <w:spacing w:line="276" w:lineRule="auto"/>
        <w:rPr>
          <w:rFonts w:hint="eastAsia" w:ascii="仿宋" w:hAnsi="仿宋" w:eastAsia="仿宋"/>
          <w:color w:val="000000" w:themeColor="text1"/>
          <w:sz w:val="40"/>
          <w:szCs w:val="40"/>
          <w14:textFill>
            <w14:solidFill>
              <w14:schemeClr w14:val="tx1"/>
            </w14:solidFill>
          </w14:textFill>
        </w:rPr>
      </w:pPr>
    </w:p>
    <w:p w14:paraId="32D9129A">
      <w:pPr>
        <w:spacing w:line="276" w:lineRule="auto"/>
        <w:rPr>
          <w:rFonts w:hint="eastAsia" w:ascii="仿宋" w:hAnsi="仿宋" w:eastAsia="仿宋"/>
          <w:color w:val="000000" w:themeColor="text1"/>
          <w:sz w:val="40"/>
          <w:szCs w:val="40"/>
          <w14:textFill>
            <w14:solidFill>
              <w14:schemeClr w14:val="tx1"/>
            </w14:solidFill>
          </w14:textFill>
        </w:rPr>
      </w:pPr>
    </w:p>
    <w:p w14:paraId="32D9129B">
      <w:pPr>
        <w:spacing w:line="276" w:lineRule="auto"/>
        <w:rPr>
          <w:rFonts w:hint="eastAsia" w:ascii="仿宋" w:hAnsi="仿宋" w:eastAsia="仿宋"/>
          <w:color w:val="000000" w:themeColor="text1"/>
          <w:sz w:val="40"/>
          <w:szCs w:val="40"/>
          <w14:textFill>
            <w14:solidFill>
              <w14:schemeClr w14:val="tx1"/>
            </w14:solidFill>
          </w14:textFill>
        </w:rPr>
      </w:pPr>
    </w:p>
    <w:p w14:paraId="32D9129C">
      <w:pPr>
        <w:spacing w:line="276" w:lineRule="auto"/>
        <w:rPr>
          <w:rFonts w:hint="eastAsia" w:ascii="仿宋" w:hAnsi="仿宋" w:eastAsia="仿宋"/>
          <w:color w:val="000000" w:themeColor="text1"/>
          <w:sz w:val="40"/>
          <w:szCs w:val="40"/>
          <w14:textFill>
            <w14:solidFill>
              <w14:schemeClr w14:val="tx1"/>
            </w14:solidFill>
          </w14:textFill>
        </w:rPr>
      </w:pPr>
    </w:p>
    <w:p w14:paraId="32D9129D">
      <w:pPr>
        <w:spacing w:line="276" w:lineRule="auto"/>
        <w:rPr>
          <w:rFonts w:hint="eastAsia" w:ascii="仿宋" w:hAnsi="仿宋" w:eastAsia="仿宋"/>
          <w:color w:val="000000" w:themeColor="text1"/>
          <w:sz w:val="40"/>
          <w:szCs w:val="40"/>
          <w14:textFill>
            <w14:solidFill>
              <w14:schemeClr w14:val="tx1"/>
            </w14:solidFill>
          </w14:textFill>
        </w:rPr>
      </w:pPr>
    </w:p>
    <w:p w14:paraId="32D9129E">
      <w:pPr>
        <w:spacing w:line="276" w:lineRule="auto"/>
        <w:rPr>
          <w:rFonts w:hint="eastAsia" w:ascii="仿宋" w:hAnsi="仿宋" w:eastAsia="仿宋"/>
          <w:color w:val="000000" w:themeColor="text1"/>
          <w:sz w:val="40"/>
          <w:szCs w:val="40"/>
          <w14:textFill>
            <w14:solidFill>
              <w14:schemeClr w14:val="tx1"/>
            </w14:solidFill>
          </w14:textFill>
        </w:rPr>
      </w:pPr>
    </w:p>
    <w:p w14:paraId="32D9129F">
      <w:pPr>
        <w:spacing w:line="276" w:lineRule="auto"/>
        <w:rPr>
          <w:rFonts w:hint="eastAsia" w:ascii="仿宋" w:hAnsi="仿宋" w:eastAsia="仿宋"/>
          <w:color w:val="000000" w:themeColor="text1"/>
          <w:sz w:val="40"/>
          <w:szCs w:val="40"/>
          <w14:textFill>
            <w14:solidFill>
              <w14:schemeClr w14:val="tx1"/>
            </w14:solidFill>
          </w14:textFill>
        </w:rPr>
      </w:pPr>
    </w:p>
    <w:p w14:paraId="32D912A0">
      <w:pPr>
        <w:spacing w:line="276" w:lineRule="auto"/>
        <w:rPr>
          <w:rFonts w:hint="eastAsia" w:ascii="仿宋" w:hAnsi="仿宋" w:eastAsia="仿宋"/>
          <w:color w:val="000000" w:themeColor="text1"/>
          <w:sz w:val="40"/>
          <w:szCs w:val="40"/>
          <w14:textFill>
            <w14:solidFill>
              <w14:schemeClr w14:val="tx1"/>
            </w14:solidFill>
          </w14:textFill>
        </w:rPr>
      </w:pPr>
    </w:p>
    <w:p w14:paraId="32D912A1">
      <w:pPr>
        <w:spacing w:line="276" w:lineRule="auto"/>
        <w:rPr>
          <w:rFonts w:hint="eastAsia" w:ascii="仿宋" w:hAnsi="仿宋" w:eastAsia="仿宋"/>
          <w:color w:val="000000" w:themeColor="text1"/>
          <w:sz w:val="40"/>
          <w:szCs w:val="40"/>
          <w14:textFill>
            <w14:solidFill>
              <w14:schemeClr w14:val="tx1"/>
            </w14:solidFill>
          </w14:textFill>
        </w:rPr>
      </w:pPr>
    </w:p>
    <w:p w14:paraId="32D912A2">
      <w:pPr>
        <w:spacing w:line="276" w:lineRule="auto"/>
        <w:jc w:val="center"/>
        <w:rPr>
          <w:rFonts w:hint="eastAsia" w:ascii="仿宋" w:hAnsi="仿宋" w:eastAsia="仿宋"/>
          <w:color w:val="000000" w:themeColor="text1"/>
          <w:sz w:val="40"/>
          <w:szCs w:val="40"/>
          <w14:textFill>
            <w14:solidFill>
              <w14:schemeClr w14:val="tx1"/>
            </w14:solidFill>
          </w14:textFill>
        </w:rPr>
      </w:pPr>
      <w:r>
        <w:rPr>
          <w:rFonts w:ascii="仿宋" w:hAnsi="仿宋" w:eastAsia="仿宋"/>
          <w:color w:val="000000" w:themeColor="text1"/>
          <w:sz w:val="40"/>
          <w:szCs w:val="40"/>
          <w14:textFill>
            <w14:solidFill>
              <w14:schemeClr w14:val="tx1"/>
            </w14:solidFill>
          </w14:textFill>
        </w:rPr>
        <w:t>2025年7月</w:t>
      </w:r>
    </w:p>
    <w:p w14:paraId="32D912A3">
      <w:pPr>
        <w:widowControl/>
        <w:spacing w:line="276" w:lineRule="auto"/>
        <w:jc w:val="left"/>
        <w:rPr>
          <w:rFonts w:hint="eastAsia" w:ascii="仿宋" w:hAnsi="仿宋" w:eastAsia="仿宋"/>
          <w:color w:val="000000" w:themeColor="text1"/>
          <w:sz w:val="32"/>
          <w:szCs w:val="32"/>
          <w14:textFill>
            <w14:solidFill>
              <w14:schemeClr w14:val="tx1"/>
            </w14:solidFill>
          </w14:textFill>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32D912A4">
      <w:pPr>
        <w:spacing w:line="276" w:lineRule="auto"/>
        <w:rPr>
          <w:rFonts w:hint="eastAsia" w:ascii="仿宋" w:hAnsi="仿宋" w:eastAsia="仿宋"/>
          <w:color w:val="000000" w:themeColor="text1"/>
          <w:sz w:val="32"/>
          <w:szCs w:val="32"/>
          <w14:textFill>
            <w14:solidFill>
              <w14:schemeClr w14:val="tx1"/>
            </w14:solidFill>
          </w14:textFill>
        </w:rPr>
      </w:pPr>
    </w:p>
    <w:p w14:paraId="32D912A5">
      <w:pPr>
        <w:spacing w:line="276" w:lineRule="auto"/>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第一部分</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邀请书</w:t>
      </w:r>
    </w:p>
    <w:p w14:paraId="32D912A6">
      <w:pPr>
        <w:spacing w:line="276" w:lineRule="auto"/>
        <w:jc w:val="center"/>
        <w:rPr>
          <w:rFonts w:hint="eastAsia" w:ascii="仿宋" w:hAnsi="仿宋" w:eastAsia="仿宋"/>
          <w:b/>
          <w:color w:val="000000" w:themeColor="text1"/>
          <w:sz w:val="32"/>
          <w:szCs w:val="32"/>
          <w14:textFill>
            <w14:solidFill>
              <w14:schemeClr w14:val="tx1"/>
            </w14:solidFill>
          </w14:textFill>
        </w:rPr>
      </w:pPr>
    </w:p>
    <w:p w14:paraId="32D912A7">
      <w:pPr>
        <w:spacing w:line="276" w:lineRule="auto"/>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p>
    <w:p w14:paraId="32D912A8">
      <w:pPr>
        <w:spacing w:line="276" w:lineRule="auto"/>
        <w:jc w:val="left"/>
        <w:rPr>
          <w:rFonts w:hint="eastAsia" w:ascii="仿宋" w:hAnsi="仿宋" w:eastAsia="仿宋"/>
          <w:b/>
          <w:color w:val="000000" w:themeColor="text1"/>
          <w:sz w:val="32"/>
          <w:szCs w:val="32"/>
          <w14:textFill>
            <w14:solidFill>
              <w14:schemeClr w14:val="tx1"/>
            </w14:solidFill>
          </w14:textFill>
        </w:rPr>
      </w:pPr>
    </w:p>
    <w:p w14:paraId="32D912A9">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u w:val="single"/>
          <w14:textFill>
            <w14:solidFill>
              <w14:schemeClr w14:val="tx1"/>
            </w14:solidFill>
          </w14:textFill>
        </w:rPr>
        <w:t>浙江大学国际联合学院（海宁国际校区）</w:t>
      </w:r>
      <w:r>
        <w:rPr>
          <w:rFonts w:ascii="仿宋" w:hAnsi="仿宋" w:eastAsia="仿宋"/>
          <w:color w:val="000000" w:themeColor="text1"/>
          <w:sz w:val="32"/>
          <w:szCs w:val="32"/>
          <w14:textFill>
            <w14:solidFill>
              <w14:schemeClr w14:val="tx1"/>
            </w14:solidFill>
          </w14:textFill>
        </w:rPr>
        <w:t>（以下简称“询价单位”）拟采购图书馆瀑布流电子借阅系统项目，特邀请贵公司参与本项目询价。</w:t>
      </w:r>
    </w:p>
    <w:p w14:paraId="32D912AA">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询价单位不负担报价单位在准备和递交标书等投标过程中发生的任何费用。</w:t>
      </w:r>
    </w:p>
    <w:p w14:paraId="32D912AB">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受邀单位在收到询价单位发出的邀请书后，请立即以邮件或书面形式予以确认；如中途退出投标的，也请尽快以邮件或书面形式通知我们，谢谢合作。</w:t>
      </w:r>
    </w:p>
    <w:p w14:paraId="32D912AC">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p>
    <w:p w14:paraId="32D912AD">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p>
    <w:p w14:paraId="32D912AE">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p>
    <w:p w14:paraId="32D912AF">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p>
    <w:p w14:paraId="32D912B0">
      <w:pPr>
        <w:spacing w:line="276" w:lineRule="auto"/>
        <w:ind w:firstLine="547" w:firstLineChars="171"/>
        <w:rPr>
          <w:rFonts w:hint="eastAsia" w:ascii="仿宋" w:hAnsi="仿宋" w:eastAsia="仿宋"/>
          <w:color w:val="000000" w:themeColor="text1"/>
          <w:sz w:val="32"/>
          <w:szCs w:val="32"/>
          <w14:textFill>
            <w14:solidFill>
              <w14:schemeClr w14:val="tx1"/>
            </w14:solidFill>
          </w14:textFill>
        </w:rPr>
      </w:pPr>
    </w:p>
    <w:p w14:paraId="32D912B1">
      <w:pPr>
        <w:spacing w:line="276" w:lineRule="auto"/>
        <w:rPr>
          <w:rFonts w:hint="eastAsia" w:ascii="仿宋" w:hAnsi="仿宋" w:eastAsia="仿宋"/>
          <w:color w:val="000000" w:themeColor="text1"/>
          <w:sz w:val="32"/>
          <w:szCs w:val="32"/>
          <w14:textFill>
            <w14:solidFill>
              <w14:schemeClr w14:val="tx1"/>
            </w14:solidFill>
          </w14:textFill>
        </w:rPr>
      </w:pPr>
    </w:p>
    <w:p w14:paraId="32D912B2">
      <w:pPr>
        <w:spacing w:line="276" w:lineRule="auto"/>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浙江大学国际联合学院（海宁</w:t>
      </w:r>
      <w:r>
        <w:rPr>
          <w:rFonts w:ascii="仿宋" w:hAnsi="仿宋" w:eastAsia="仿宋"/>
          <w:color w:val="000000" w:themeColor="text1"/>
          <w:sz w:val="32"/>
          <w:szCs w:val="32"/>
          <w14:textFill>
            <w14:solidFill>
              <w14:schemeClr w14:val="tx1"/>
            </w14:solidFill>
          </w14:textFill>
        </w:rPr>
        <w:t>国际校区</w:t>
      </w:r>
      <w:r>
        <w:rPr>
          <w:rFonts w:hint="eastAsia" w:ascii="仿宋" w:hAnsi="仿宋" w:eastAsia="仿宋"/>
          <w:color w:val="000000" w:themeColor="text1"/>
          <w:sz w:val="32"/>
          <w:szCs w:val="32"/>
          <w14:textFill>
            <w14:solidFill>
              <w14:schemeClr w14:val="tx1"/>
            </w14:solidFill>
          </w14:textFill>
        </w:rPr>
        <w:t>）</w:t>
      </w:r>
    </w:p>
    <w:p w14:paraId="32D912B3">
      <w:pPr>
        <w:wordWrap w:val="0"/>
        <w:spacing w:line="276" w:lineRule="auto"/>
        <w:ind w:right="240"/>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日期： </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年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月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日</w:t>
      </w:r>
    </w:p>
    <w:p w14:paraId="32D912B4">
      <w:pPr>
        <w:spacing w:line="276" w:lineRule="auto"/>
        <w:jc w:val="center"/>
        <w:rPr>
          <w:rFonts w:hint="eastAsia"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第二部分</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报价须知</w:t>
      </w:r>
    </w:p>
    <w:p w14:paraId="32D912B5">
      <w:pPr>
        <w:spacing w:line="276" w:lineRule="auto"/>
        <w:rPr>
          <w:rFonts w:hint="eastAsia" w:ascii="仿宋" w:hAnsi="仿宋" w:eastAsia="仿宋"/>
          <w:b/>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一、项目概况</w:t>
      </w:r>
    </w:p>
    <w:p w14:paraId="32D912B6">
      <w:pPr>
        <w:spacing w:line="276" w:lineRule="auto"/>
        <w:ind w:firstLine="720" w:firstLineChars="225"/>
        <w:rPr>
          <w:rStyle w:val="25"/>
          <w:rFonts w:hint="eastAsia" w:ascii="仿宋" w:hAnsi="仿宋" w:eastAsia="仿宋"/>
          <w:color w:val="000000" w:themeColor="text1"/>
          <w:sz w:val="32"/>
          <w:szCs w:val="32"/>
          <w14:textFill>
            <w14:solidFill>
              <w14:schemeClr w14:val="tx1"/>
            </w14:solidFill>
          </w14:textFill>
        </w:rPr>
      </w:pPr>
      <w:r>
        <w:rPr>
          <w:rStyle w:val="25"/>
          <w:rFonts w:ascii="仿宋" w:hAnsi="仿宋" w:eastAsia="仿宋"/>
          <w:color w:val="000000" w:themeColor="text1"/>
          <w:sz w:val="32"/>
          <w:szCs w:val="32"/>
          <w14:textFill>
            <w14:solidFill>
              <w14:schemeClr w14:val="tx1"/>
            </w14:solidFill>
          </w14:textFill>
        </w:rPr>
        <w:t xml:space="preserve">为打造良好阅读环境，推广优质经典图书，提升图书馆的文化氛围，拟建设瀑布流电子借阅系统，帮助用户通过移动设备随时随地获取数字图书馆的资源，激发读者的阅读兴趣，实现图书馆的扩展服务需求。  </w:t>
      </w:r>
    </w:p>
    <w:p w14:paraId="32D912B7">
      <w:pPr>
        <w:spacing w:line="276"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二、项目需求</w:t>
      </w:r>
    </w:p>
    <w:p w14:paraId="32D912B8">
      <w:pPr>
        <w:spacing w:line="276" w:lineRule="auto"/>
        <w:rPr>
          <w:rFonts w:hint="eastAsia" w:ascii="仿宋" w:hAnsi="仿宋" w:eastAsia="仿宋"/>
          <w:b/>
          <w:bCs/>
          <w:color w:val="000000" w:themeColor="text1"/>
          <w:sz w:val="32"/>
          <w:szCs w:val="32"/>
          <w14:textFill>
            <w14:solidFill>
              <w14:schemeClr w14:val="tx1"/>
            </w14:solidFill>
          </w14:textFill>
        </w:rPr>
      </w:pPr>
      <w:r>
        <w:rPr>
          <w:rFonts w:ascii="仿宋" w:hAnsi="仿宋" w:eastAsia="仿宋" w:cs="Calibri"/>
          <w:b/>
          <w:bCs/>
          <w:color w:val="000000" w:themeColor="text1"/>
          <w:sz w:val="32"/>
          <w:szCs w:val="32"/>
          <w:lang w:val="zh-TW"/>
          <w14:textFill>
            <w14:solidFill>
              <w14:schemeClr w14:val="tx1"/>
            </w14:solidFill>
          </w14:textFill>
        </w:rPr>
        <w:t>（一）采购内容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975"/>
        <w:gridCol w:w="1575"/>
        <w:gridCol w:w="1215"/>
        <w:gridCol w:w="1215"/>
      </w:tblGrid>
      <w:tr w14:paraId="32D9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5" w:type="dxa"/>
            <w:tcMar>
              <w:left w:w="105" w:type="dxa"/>
              <w:right w:w="105" w:type="dxa"/>
            </w:tcMar>
          </w:tcPr>
          <w:p w14:paraId="32D912B9">
            <w:pPr>
              <w:spacing w:line="276" w:lineRule="auto"/>
              <w:jc w:val="center"/>
              <w:rPr>
                <w:rFonts w:hint="eastAsia" w:ascii="仿宋" w:hAnsi="仿宋" w:eastAsia="仿宋"/>
                <w:sz w:val="32"/>
                <w:szCs w:val="32"/>
              </w:rPr>
            </w:pPr>
            <w:r>
              <w:rPr>
                <w:rFonts w:ascii="仿宋" w:hAnsi="仿宋" w:eastAsia="仿宋"/>
                <w:sz w:val="32"/>
                <w:szCs w:val="32"/>
              </w:rPr>
              <w:t>序号</w:t>
            </w:r>
          </w:p>
        </w:tc>
        <w:tc>
          <w:tcPr>
            <w:tcW w:w="3975" w:type="dxa"/>
            <w:tcMar>
              <w:left w:w="105" w:type="dxa"/>
              <w:right w:w="105" w:type="dxa"/>
            </w:tcMar>
          </w:tcPr>
          <w:p w14:paraId="32D912BA">
            <w:pPr>
              <w:spacing w:line="276" w:lineRule="auto"/>
              <w:jc w:val="center"/>
              <w:rPr>
                <w:rFonts w:hint="eastAsia" w:ascii="仿宋" w:hAnsi="仿宋" w:eastAsia="仿宋"/>
                <w:sz w:val="32"/>
                <w:szCs w:val="32"/>
              </w:rPr>
            </w:pPr>
            <w:r>
              <w:rPr>
                <w:rFonts w:ascii="仿宋" w:hAnsi="仿宋" w:eastAsia="仿宋"/>
                <w:sz w:val="32"/>
                <w:szCs w:val="32"/>
              </w:rPr>
              <w:t>名称</w:t>
            </w:r>
          </w:p>
        </w:tc>
        <w:tc>
          <w:tcPr>
            <w:tcW w:w="1575" w:type="dxa"/>
            <w:tcMar>
              <w:left w:w="105" w:type="dxa"/>
              <w:right w:w="105" w:type="dxa"/>
            </w:tcMar>
          </w:tcPr>
          <w:p w14:paraId="32D912BB">
            <w:pPr>
              <w:spacing w:line="276" w:lineRule="auto"/>
              <w:jc w:val="center"/>
              <w:rPr>
                <w:rFonts w:hint="eastAsia" w:ascii="仿宋" w:hAnsi="仿宋" w:eastAsia="仿宋"/>
                <w:sz w:val="32"/>
                <w:szCs w:val="32"/>
              </w:rPr>
            </w:pPr>
            <w:r>
              <w:rPr>
                <w:rFonts w:ascii="仿宋" w:hAnsi="仿宋" w:eastAsia="仿宋"/>
                <w:sz w:val="32"/>
                <w:szCs w:val="32"/>
              </w:rPr>
              <w:t>数量</w:t>
            </w:r>
          </w:p>
        </w:tc>
        <w:tc>
          <w:tcPr>
            <w:tcW w:w="1215" w:type="dxa"/>
            <w:tcMar>
              <w:left w:w="105" w:type="dxa"/>
              <w:right w:w="105" w:type="dxa"/>
            </w:tcMar>
          </w:tcPr>
          <w:p w14:paraId="32D912BC">
            <w:pPr>
              <w:spacing w:line="276" w:lineRule="auto"/>
              <w:jc w:val="center"/>
              <w:rPr>
                <w:rFonts w:hint="eastAsia" w:ascii="仿宋" w:hAnsi="仿宋" w:eastAsia="仿宋"/>
                <w:sz w:val="32"/>
                <w:szCs w:val="32"/>
              </w:rPr>
            </w:pPr>
            <w:r>
              <w:rPr>
                <w:rFonts w:ascii="仿宋" w:hAnsi="仿宋" w:eastAsia="仿宋"/>
                <w:sz w:val="32"/>
                <w:szCs w:val="32"/>
              </w:rPr>
              <w:t>单位</w:t>
            </w:r>
          </w:p>
        </w:tc>
        <w:tc>
          <w:tcPr>
            <w:tcW w:w="1215" w:type="dxa"/>
            <w:tcMar>
              <w:left w:w="105" w:type="dxa"/>
              <w:right w:w="105" w:type="dxa"/>
            </w:tcMar>
          </w:tcPr>
          <w:p w14:paraId="32D912BD">
            <w:pPr>
              <w:spacing w:line="276" w:lineRule="auto"/>
              <w:jc w:val="center"/>
              <w:rPr>
                <w:rFonts w:hint="eastAsia" w:ascii="仿宋" w:hAnsi="仿宋" w:eastAsia="仿宋"/>
                <w:sz w:val="32"/>
                <w:szCs w:val="32"/>
              </w:rPr>
            </w:pPr>
            <w:r>
              <w:rPr>
                <w:rFonts w:ascii="仿宋" w:hAnsi="仿宋" w:eastAsia="仿宋"/>
                <w:sz w:val="32"/>
                <w:szCs w:val="32"/>
              </w:rPr>
              <w:t>预算</w:t>
            </w:r>
          </w:p>
        </w:tc>
      </w:tr>
      <w:tr w14:paraId="32D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5" w:type="dxa"/>
            <w:tcMar>
              <w:left w:w="105" w:type="dxa"/>
              <w:right w:w="105" w:type="dxa"/>
            </w:tcMar>
          </w:tcPr>
          <w:p w14:paraId="32D912BF">
            <w:pPr>
              <w:spacing w:line="276" w:lineRule="auto"/>
              <w:jc w:val="center"/>
              <w:rPr>
                <w:rFonts w:hint="eastAsia" w:ascii="仿宋" w:hAnsi="仿宋" w:eastAsia="仿宋"/>
                <w:sz w:val="32"/>
                <w:szCs w:val="32"/>
              </w:rPr>
            </w:pPr>
            <w:r>
              <w:rPr>
                <w:rFonts w:ascii="仿宋" w:hAnsi="仿宋" w:eastAsia="仿宋"/>
                <w:sz w:val="32"/>
                <w:szCs w:val="32"/>
              </w:rPr>
              <w:t>1</w:t>
            </w:r>
          </w:p>
        </w:tc>
        <w:tc>
          <w:tcPr>
            <w:tcW w:w="3975" w:type="dxa"/>
            <w:tcMar>
              <w:left w:w="105" w:type="dxa"/>
              <w:right w:w="105" w:type="dxa"/>
            </w:tcMar>
          </w:tcPr>
          <w:p w14:paraId="32D912C0">
            <w:pPr>
              <w:spacing w:line="276" w:lineRule="auto"/>
              <w:jc w:val="center"/>
              <w:rPr>
                <w:rFonts w:hint="eastAsia" w:ascii="仿宋" w:hAnsi="仿宋" w:eastAsia="仿宋"/>
                <w:sz w:val="32"/>
                <w:szCs w:val="32"/>
              </w:rPr>
            </w:pPr>
            <w:r>
              <w:rPr>
                <w:rFonts w:ascii="仿宋" w:hAnsi="仿宋" w:eastAsia="仿宋"/>
                <w:sz w:val="32"/>
                <w:szCs w:val="32"/>
              </w:rPr>
              <w:t>瀑布流电子借阅系统</w:t>
            </w:r>
          </w:p>
        </w:tc>
        <w:tc>
          <w:tcPr>
            <w:tcW w:w="1575" w:type="dxa"/>
            <w:tcMar>
              <w:left w:w="105" w:type="dxa"/>
              <w:right w:w="105" w:type="dxa"/>
            </w:tcMar>
          </w:tcPr>
          <w:p w14:paraId="32D912C1">
            <w:pPr>
              <w:spacing w:line="276" w:lineRule="auto"/>
              <w:jc w:val="center"/>
              <w:rPr>
                <w:rFonts w:hint="eastAsia" w:ascii="仿宋" w:hAnsi="仿宋" w:eastAsia="仿宋"/>
                <w:sz w:val="32"/>
                <w:szCs w:val="32"/>
              </w:rPr>
            </w:pPr>
            <w:r>
              <w:rPr>
                <w:rFonts w:ascii="仿宋" w:hAnsi="仿宋" w:eastAsia="仿宋"/>
                <w:sz w:val="32"/>
                <w:szCs w:val="32"/>
              </w:rPr>
              <w:t>1</w:t>
            </w:r>
          </w:p>
        </w:tc>
        <w:tc>
          <w:tcPr>
            <w:tcW w:w="1215" w:type="dxa"/>
            <w:tcMar>
              <w:left w:w="105" w:type="dxa"/>
              <w:right w:w="105" w:type="dxa"/>
            </w:tcMar>
          </w:tcPr>
          <w:p w14:paraId="32D912C2">
            <w:pPr>
              <w:spacing w:line="276" w:lineRule="auto"/>
              <w:jc w:val="center"/>
              <w:rPr>
                <w:rFonts w:hint="eastAsia" w:ascii="仿宋" w:hAnsi="仿宋" w:eastAsia="仿宋"/>
                <w:sz w:val="32"/>
                <w:szCs w:val="32"/>
              </w:rPr>
            </w:pPr>
            <w:r>
              <w:rPr>
                <w:rFonts w:ascii="仿宋" w:hAnsi="仿宋" w:eastAsia="仿宋"/>
                <w:sz w:val="32"/>
                <w:szCs w:val="32"/>
              </w:rPr>
              <w:t>套</w:t>
            </w:r>
          </w:p>
        </w:tc>
        <w:tc>
          <w:tcPr>
            <w:tcW w:w="1215" w:type="dxa"/>
            <w:vMerge w:val="restart"/>
            <w:tcMar>
              <w:left w:w="105" w:type="dxa"/>
              <w:right w:w="105" w:type="dxa"/>
            </w:tcMar>
          </w:tcPr>
          <w:p w14:paraId="32D912C3">
            <w:pPr>
              <w:spacing w:line="276" w:lineRule="auto"/>
              <w:jc w:val="center"/>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8.5</w:t>
            </w:r>
            <w:r>
              <w:rPr>
                <w:rFonts w:ascii="仿宋" w:hAnsi="仿宋" w:eastAsia="仿宋"/>
                <w:sz w:val="32"/>
                <w:szCs w:val="32"/>
              </w:rPr>
              <w:t>万</w:t>
            </w:r>
          </w:p>
        </w:tc>
      </w:tr>
      <w:tr w14:paraId="32D9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5" w:type="dxa"/>
            <w:tcMar>
              <w:left w:w="105" w:type="dxa"/>
              <w:right w:w="105" w:type="dxa"/>
            </w:tcMar>
          </w:tcPr>
          <w:p w14:paraId="32D912C5">
            <w:pPr>
              <w:spacing w:line="276" w:lineRule="auto"/>
              <w:jc w:val="center"/>
              <w:rPr>
                <w:rFonts w:hint="eastAsia" w:ascii="仿宋" w:hAnsi="仿宋" w:eastAsia="仿宋"/>
                <w:sz w:val="32"/>
                <w:szCs w:val="32"/>
              </w:rPr>
            </w:pPr>
            <w:r>
              <w:rPr>
                <w:rFonts w:ascii="仿宋" w:hAnsi="仿宋" w:eastAsia="仿宋"/>
                <w:sz w:val="32"/>
                <w:szCs w:val="32"/>
              </w:rPr>
              <w:t>2</w:t>
            </w:r>
          </w:p>
        </w:tc>
        <w:tc>
          <w:tcPr>
            <w:tcW w:w="3975" w:type="dxa"/>
            <w:tcMar>
              <w:left w:w="105" w:type="dxa"/>
              <w:right w:w="105" w:type="dxa"/>
            </w:tcMar>
          </w:tcPr>
          <w:p w14:paraId="32D912C6">
            <w:pPr>
              <w:spacing w:line="276" w:lineRule="auto"/>
              <w:jc w:val="center"/>
              <w:rPr>
                <w:rFonts w:hint="eastAsia" w:ascii="仿宋" w:hAnsi="仿宋" w:eastAsia="仿宋"/>
                <w:sz w:val="32"/>
                <w:szCs w:val="32"/>
              </w:rPr>
            </w:pPr>
            <w:r>
              <w:rPr>
                <w:rFonts w:ascii="仿宋" w:hAnsi="仿宋" w:eastAsia="仿宋"/>
                <w:sz w:val="32"/>
                <w:szCs w:val="32"/>
              </w:rPr>
              <w:t>瀑布流阅读屏</w:t>
            </w:r>
          </w:p>
        </w:tc>
        <w:tc>
          <w:tcPr>
            <w:tcW w:w="1575" w:type="dxa"/>
            <w:tcMar>
              <w:left w:w="105" w:type="dxa"/>
              <w:right w:w="105" w:type="dxa"/>
            </w:tcMar>
          </w:tcPr>
          <w:p w14:paraId="32D912C7">
            <w:pPr>
              <w:spacing w:line="276" w:lineRule="auto"/>
              <w:jc w:val="center"/>
              <w:rPr>
                <w:rFonts w:hint="eastAsia" w:ascii="仿宋" w:hAnsi="仿宋" w:eastAsia="仿宋"/>
                <w:sz w:val="32"/>
                <w:szCs w:val="32"/>
              </w:rPr>
            </w:pPr>
            <w:r>
              <w:rPr>
                <w:rFonts w:ascii="仿宋" w:hAnsi="仿宋" w:eastAsia="仿宋"/>
                <w:sz w:val="32"/>
                <w:szCs w:val="32"/>
              </w:rPr>
              <w:t>2</w:t>
            </w:r>
          </w:p>
        </w:tc>
        <w:tc>
          <w:tcPr>
            <w:tcW w:w="1215" w:type="dxa"/>
            <w:tcMar>
              <w:left w:w="105" w:type="dxa"/>
              <w:right w:w="105" w:type="dxa"/>
            </w:tcMar>
          </w:tcPr>
          <w:p w14:paraId="32D912C8">
            <w:pPr>
              <w:spacing w:line="276" w:lineRule="auto"/>
              <w:jc w:val="center"/>
              <w:rPr>
                <w:rFonts w:hint="eastAsia" w:ascii="仿宋" w:hAnsi="仿宋" w:eastAsia="仿宋"/>
                <w:sz w:val="32"/>
                <w:szCs w:val="32"/>
              </w:rPr>
            </w:pPr>
            <w:r>
              <w:rPr>
                <w:rFonts w:ascii="仿宋" w:hAnsi="仿宋" w:eastAsia="仿宋"/>
                <w:sz w:val="32"/>
                <w:szCs w:val="32"/>
              </w:rPr>
              <w:t>套</w:t>
            </w:r>
          </w:p>
        </w:tc>
        <w:tc>
          <w:tcPr>
            <w:tcW w:w="1215" w:type="dxa"/>
            <w:vMerge w:val="continue"/>
            <w:vAlign w:val="center"/>
          </w:tcPr>
          <w:p w14:paraId="32D912C9"/>
        </w:tc>
      </w:tr>
    </w:tbl>
    <w:p w14:paraId="32D912CB">
      <w:pPr>
        <w:spacing w:line="276" w:lineRule="auto"/>
      </w:pPr>
    </w:p>
    <w:p w14:paraId="32D912CC">
      <w:pPr>
        <w:spacing w:line="276" w:lineRule="auto"/>
        <w:rPr>
          <w:rFonts w:hint="eastAsia" w:ascii="仿宋" w:hAnsi="仿宋" w:eastAsia="仿宋" w:cs="Calibri"/>
          <w:b/>
          <w:bCs/>
          <w:color w:val="000000" w:themeColor="text1"/>
          <w:sz w:val="32"/>
          <w:szCs w:val="32"/>
          <w:lang w:val="zh-TW"/>
          <w14:textFill>
            <w14:solidFill>
              <w14:schemeClr w14:val="tx1"/>
            </w14:solidFill>
          </w14:textFill>
        </w:rPr>
      </w:pPr>
      <w:r>
        <w:rPr>
          <w:rFonts w:ascii="仿宋" w:hAnsi="仿宋" w:eastAsia="仿宋"/>
          <w:sz w:val="24"/>
        </w:rPr>
        <w:t>费用包含：总价应包含但不限于所有技术人员的工勤费用（包括工资、福利、交通、食宿、通讯、常驻现场的费用等）、系统服务、安装及相关辅料、调试、培训、质保期售后服务、全额含税发票、合同实施过程中的应预见和不可预见费用等。</w:t>
      </w:r>
    </w:p>
    <w:p w14:paraId="32D912CD">
      <w:pPr>
        <w:spacing w:line="276" w:lineRule="auto"/>
        <w:rPr>
          <w:rFonts w:hint="eastAsia" w:ascii="仿宋" w:hAnsi="仿宋" w:eastAsia="仿宋"/>
          <w:sz w:val="24"/>
        </w:rPr>
      </w:pPr>
    </w:p>
    <w:p w14:paraId="32D912CE">
      <w:pPr>
        <w:spacing w:line="276" w:lineRule="auto"/>
        <w:rPr>
          <w:rStyle w:val="25"/>
          <w:rFonts w:hint="eastAsia" w:ascii="仿宋" w:hAnsi="仿宋" w:eastAsia="仿宋"/>
          <w:color w:val="000000" w:themeColor="text1"/>
          <w:sz w:val="32"/>
          <w:szCs w:val="32"/>
          <w14:textFill>
            <w14:solidFill>
              <w14:schemeClr w14:val="tx1"/>
            </w14:solidFill>
          </w14:textFill>
        </w:rPr>
      </w:pPr>
      <w:r>
        <w:rPr>
          <w:rStyle w:val="25"/>
          <w:rFonts w:ascii="仿宋" w:hAnsi="仿宋" w:eastAsia="仿宋"/>
          <w:color w:val="000000" w:themeColor="text1"/>
          <w:sz w:val="32"/>
          <w:szCs w:val="32"/>
          <w14:textFill>
            <w14:solidFill>
              <w14:schemeClr w14:val="tx1"/>
            </w14:solidFill>
          </w14:textFill>
        </w:rPr>
        <w:t>1.采购内容满足以下基本要求：</w:t>
      </w:r>
    </w:p>
    <w:p w14:paraId="32D912CF">
      <w:pPr>
        <w:spacing w:line="276" w:lineRule="auto"/>
        <w:rPr>
          <w:rStyle w:val="25"/>
          <w:rFonts w:hint="eastAsia" w:ascii="仿宋" w:hAnsi="仿宋" w:eastAsia="仿宋"/>
          <w:color w:val="000000" w:themeColor="text1"/>
          <w:sz w:val="32"/>
          <w:szCs w:val="32"/>
          <w14:textFill>
            <w14:solidFill>
              <w14:schemeClr w14:val="tx1"/>
            </w14:solidFill>
          </w14:textFill>
        </w:rPr>
      </w:pPr>
      <w:r>
        <w:rPr>
          <w:rStyle w:val="25"/>
          <w:rFonts w:ascii="仿宋" w:hAnsi="仿宋" w:eastAsia="仿宋"/>
          <w:color w:val="000000" w:themeColor="text1"/>
          <w:sz w:val="32"/>
          <w:szCs w:val="32"/>
          <w14:textFill>
            <w14:solidFill>
              <w14:schemeClr w14:val="tx1"/>
            </w14:solidFill>
          </w14:textFill>
        </w:rPr>
        <w:t>（1）瀑布流电子借阅系统支持在线阅读电子图书，也可通过移动终端扫描图书二维码，将图书下载至移动端随时随地进行阅读。</w:t>
      </w:r>
    </w:p>
    <w:p w14:paraId="32D912D0">
      <w:pPr>
        <w:spacing w:line="276" w:lineRule="auto"/>
        <w:rPr>
          <w:rStyle w:val="25"/>
          <w:rFonts w:hint="eastAsia" w:ascii="仿宋" w:hAnsi="仿宋" w:eastAsia="仿宋"/>
          <w:color w:val="000000" w:themeColor="text1"/>
          <w:sz w:val="32"/>
          <w:szCs w:val="32"/>
          <w14:textFill>
            <w14:solidFill>
              <w14:schemeClr w14:val="tx1"/>
            </w14:solidFill>
          </w14:textFill>
        </w:rPr>
      </w:pPr>
      <w:r>
        <w:rPr>
          <w:rStyle w:val="25"/>
          <w:rFonts w:ascii="仿宋" w:hAnsi="仿宋" w:eastAsia="仿宋"/>
          <w:color w:val="000000" w:themeColor="text1"/>
          <w:sz w:val="32"/>
          <w:szCs w:val="32"/>
          <w14:textFill>
            <w14:solidFill>
              <w14:schemeClr w14:val="tx1"/>
            </w14:solidFill>
          </w14:textFill>
        </w:rPr>
        <w:t>（2）瀑布流电子借阅系统及瀑布流阅读屏须具有良好的安全性、可靠性，所有设备及部件符合国家相关标准和环保要求，对人体无损害，电磁辐射须符合国家相关标准要求，须符合安防要求及需方相关安全要求。支持全年每周7*24小时稳定运行。</w:t>
      </w:r>
    </w:p>
    <w:p w14:paraId="32D912D1">
      <w:pPr>
        <w:spacing w:line="276" w:lineRule="auto"/>
        <w:rPr>
          <w:rStyle w:val="25"/>
          <w:rFonts w:hint="eastAsia" w:ascii="仿宋" w:hAnsi="仿宋" w:eastAsia="仿宋"/>
          <w:color w:val="000000" w:themeColor="text1"/>
          <w:sz w:val="32"/>
          <w:szCs w:val="32"/>
          <w14:textFill>
            <w14:solidFill>
              <w14:schemeClr w14:val="tx1"/>
            </w14:solidFill>
          </w14:textFill>
        </w:rPr>
      </w:pPr>
      <w:r>
        <w:rPr>
          <w:rStyle w:val="25"/>
          <w:rFonts w:ascii="仿宋" w:hAnsi="仿宋" w:eastAsia="仿宋"/>
          <w:color w:val="000000" w:themeColor="text1"/>
          <w:sz w:val="32"/>
          <w:szCs w:val="32"/>
          <w14:textFill>
            <w14:solidFill>
              <w14:schemeClr w14:val="tx1"/>
            </w14:solidFill>
          </w14:textFill>
        </w:rPr>
        <w:t>（3）系统须满足需方网络安全的要求及信息系统等级保护标准。</w:t>
      </w:r>
    </w:p>
    <w:p w14:paraId="32D912D2">
      <w:pPr>
        <w:spacing w:line="276" w:lineRule="auto"/>
        <w:rPr>
          <w:rStyle w:val="25"/>
          <w:rFonts w:hint="eastAsia" w:ascii="仿宋" w:hAnsi="仿宋" w:eastAsia="仿宋"/>
          <w:color w:val="000000" w:themeColor="text1"/>
          <w:sz w:val="32"/>
          <w:szCs w:val="32"/>
          <w14:textFill>
            <w14:solidFill>
              <w14:schemeClr w14:val="tx1"/>
            </w14:solidFill>
          </w14:textFill>
        </w:rPr>
      </w:pPr>
      <w:r>
        <w:rPr>
          <w:rStyle w:val="25"/>
          <w:rFonts w:ascii="仿宋" w:hAnsi="仿宋" w:eastAsia="仿宋"/>
          <w:color w:val="000000" w:themeColor="text1"/>
          <w:sz w:val="32"/>
          <w:szCs w:val="32"/>
          <w14:textFill>
            <w14:solidFill>
              <w14:schemeClr w14:val="tx1"/>
            </w14:solidFill>
          </w14:textFill>
        </w:rPr>
        <w:t>（4）供方须按需方要求完成相关应用系统的对接工作并提供二次开发服务。质保期内，若对接的第三方系统发生变更（如系统升级、系统更换等），供方须免费配合重新对接系统，所有费用包含在本项目中。</w:t>
      </w:r>
    </w:p>
    <w:p w14:paraId="32D912D3">
      <w:pPr>
        <w:spacing w:line="276" w:lineRule="auto"/>
        <w:rPr>
          <w:rFonts w:hint="eastAsia" w:ascii="仿宋" w:hAnsi="仿宋" w:eastAsia="仿宋"/>
          <w:sz w:val="24"/>
        </w:rPr>
      </w:pPr>
    </w:p>
    <w:p w14:paraId="32D912D4">
      <w:pPr>
        <w:spacing w:line="276" w:lineRule="auto"/>
        <w:rPr>
          <w:rFonts w:hint="eastAsia" w:ascii="仿宋" w:hAnsi="仿宋" w:eastAsia="仿宋" w:cs="宋体"/>
          <w:b/>
          <w:bCs/>
          <w:color w:val="000000" w:themeColor="text1"/>
          <w:sz w:val="32"/>
          <w:szCs w:val="32"/>
          <w14:textFill>
            <w14:solidFill>
              <w14:schemeClr w14:val="tx1"/>
            </w14:solidFill>
          </w14:textFill>
        </w:rPr>
      </w:pPr>
      <w:r>
        <w:rPr>
          <w:rFonts w:ascii="仿宋" w:hAnsi="仿宋" w:eastAsia="仿宋" w:cs="宋体"/>
          <w:b/>
          <w:bCs/>
          <w:color w:val="000000" w:themeColor="text1"/>
          <w:sz w:val="32"/>
          <w:szCs w:val="32"/>
          <w14:textFill>
            <w14:solidFill>
              <w14:schemeClr w14:val="tx1"/>
            </w14:solidFill>
          </w14:textFill>
        </w:rPr>
        <w:t>（二）技术要求</w:t>
      </w:r>
    </w:p>
    <w:tbl>
      <w:tblPr>
        <w:tblStyle w:val="21"/>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935"/>
      </w:tblGrid>
      <w:tr w14:paraId="32D912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restart"/>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2D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瀑布流电子借阅系统（1套）</w:t>
            </w:r>
          </w:p>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2D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系统</w:t>
            </w:r>
          </w:p>
          <w:p w14:paraId="32D912D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（1）软件运行环境为不低于Windows10 64位操作系统。</w:t>
            </w:r>
          </w:p>
          <w:p w14:paraId="32D912D8">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系统必须具备配套的手机客户端，系统内的资源可通过配套的手机客户端进行扫码，下载资源至手机。下载后的资源，无需网络，随时随地进行阅读；配套的手机端应具备夜间模式转换，文字大小调整等功能；手机客户端可保留相关阅读记录；手机客户端需同时支持ios、android系统；系统支持中英文界面语言。</w:t>
            </w:r>
          </w:p>
          <w:p w14:paraId="32D912D9">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（3）支持微信等第三方扫描工具进行扫码，扫码后获取在线阅读服务，无需下载客户端，并能将图书分享至朋友圈等社交网络。</w:t>
            </w:r>
          </w:p>
          <w:p w14:paraId="32D912DA">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（4）支持远程升级，支持一键更新，减少管理成本。</w:t>
            </w:r>
          </w:p>
          <w:p w14:paraId="32D912DB">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（5）提供统一管理平台，支持PC端+移动端多终端管理，包括：设备信息查看，重启、关机、刷新等操作，主题切换等服务。</w:t>
            </w:r>
          </w:p>
          <w:p w14:paraId="32D912DC">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（6）具备完善的后台管理系统，实现用户自主化管理。</w:t>
            </w:r>
          </w:p>
          <w:p w14:paraId="32D912DD">
            <w:pPr>
              <w:spacing w:before="120" w:after="120" w:line="288"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（7）具备良好的开放性，可以支持二次开发。</w:t>
            </w:r>
          </w:p>
          <w:p w14:paraId="32D912DE">
            <w:pPr>
              <w:spacing w:before="120" w:after="120" w:line="288"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（8）提供瀑布流产品新功能免费更新升级服务及完善的售后说明。</w:t>
            </w:r>
          </w:p>
        </w:tc>
      </w:tr>
      <w:tr w14:paraId="32D912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nil"/>
              <w:right w:val="single" w:color="auto" w:sz="0" w:space="0"/>
            </w:tcBorders>
            <w:vAlign w:val="center"/>
          </w:tcPr>
          <w:p w14:paraId="32D912E0"/>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2E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资源配置</w:t>
            </w:r>
          </w:p>
          <w:p w14:paraId="32D912E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（1）★系统应至少支持图书、期刊、视频、专题、图片等多种类型的资源配置到机器上进行展示。图书支持PDF、EPUB格式类型，图片支持JPG、GIF、PNG等格式。视频支持mp4格式。</w:t>
            </w:r>
          </w:p>
          <w:p w14:paraId="32D912E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（2）系统支持资源单独、组合展示，可按资源类型分类进行切换展示。</w:t>
            </w:r>
          </w:p>
          <w:p w14:paraId="32D912E4">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图书资源：内置不少于3000册正版授权的epub格式电子图书，且与原版图书保持原貌一致，如相关图片、目录等。每月定时更新不少于150种热门电子图书。用户可以直接在线阅读，也可通过第三方扫描工具获取在线阅读服务或通过配套的手机客户端扫描图书二维码，下载至智能终端进行离线阅读。同时提供2万余册可选电子书库供用户灵活配置、使用。</w:t>
            </w:r>
          </w:p>
          <w:p w14:paraId="32D912E5">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（4）视频资源：系统提供不少于400集名师讲坛视频，视频支持单集、系列选集播放，同时支持在线观看或扫码带走观看。</w:t>
            </w:r>
          </w:p>
          <w:p w14:paraId="32D912E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专题资源：提供不少于500种专题资源，同时支持客户自建专题，为用户提供专题创建工具，可以将文本内容、图片、视频、音频等资源进行混合编排，形成富媒体专题资源，专题至少支持创建三级目录。支持将创建好的富媒体专题资源，配置到设备呈现。</w:t>
            </w:r>
          </w:p>
          <w:p w14:paraId="32D912E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（6）期刊资源：内置不少于300种优质期刊，可选期刊资源库5000余种，期刊支持在线阅读及扫码带走，同时支持往期查看等。</w:t>
            </w:r>
          </w:p>
          <w:p w14:paraId="32D912E8">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（7）图片资源：支持图片资源展示，支持单张或者多张展示、支持查看简介内容、支持放大缩小查看图片等操作。</w:t>
            </w:r>
          </w:p>
          <w:p w14:paraId="32D912E9">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（8）资源版权清晰，所有资源具备合法授权，</w:t>
            </w:r>
            <w:r>
              <w:rPr>
                <w:rFonts w:hint="eastAsia" w:ascii="仿宋" w:hAnsi="仿宋" w:eastAsia="仿宋" w:cs="仿宋"/>
                <w:color w:val="000000" w:themeColor="text1"/>
                <w:sz w:val="24"/>
                <w14:textFill>
                  <w14:solidFill>
                    <w14:schemeClr w14:val="tx1"/>
                  </w14:solidFill>
                </w14:textFill>
              </w:rPr>
              <w:t>供方承诺承担瀑布流内置资源的所有版权责任</w:t>
            </w:r>
            <w:r>
              <w:rPr>
                <w:rFonts w:ascii="仿宋" w:hAnsi="仿宋" w:eastAsia="仿宋" w:cs="仿宋"/>
                <w:color w:val="000000" w:themeColor="text1"/>
                <w:sz w:val="24"/>
                <w14:textFill>
                  <w14:solidFill>
                    <w14:schemeClr w14:val="tx1"/>
                  </w14:solidFill>
                </w14:textFill>
              </w:rPr>
              <w:t>。</w:t>
            </w:r>
          </w:p>
          <w:p w14:paraId="32D912EA">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支持纸质资源数字化并建立特色馆藏，可按需方要求提供定制服务，支持本地存储，同时可将资源展示到瀑布流阅读屏中，并支持在线阅读和扫码下载；支持图书馆已购数据库在线资源展示到瀑布流阅读屏中，并支持在线阅读和扫码下载。</w:t>
            </w:r>
          </w:p>
          <w:p w14:paraId="32D912EB">
            <w:pPr>
              <w:spacing w:before="220" w:after="160" w:line="278"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瀑布流系统提供不少于6种特色主题皮肤包，可供用户选择，根据不同的节日热点，可切换展示贴合时下的主题瀑布流，如423读书日、中秋、端午、国庆、新春、党建等主题风格展示。支持特色主题皮肤包定制服务，满足个性化需求，定制周期在2周内。</w:t>
            </w:r>
          </w:p>
        </w:tc>
      </w:tr>
      <w:tr w14:paraId="32D912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nil"/>
              <w:right w:val="single" w:color="auto" w:sz="0" w:space="0"/>
            </w:tcBorders>
            <w:vAlign w:val="center"/>
          </w:tcPr>
          <w:p w14:paraId="32D912ED"/>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2EE">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系统管理后台</w:t>
            </w:r>
          </w:p>
          <w:p w14:paraId="32D912E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（1）支持管理瀑布流设备，支持对设备信息进行查看、在线/离线状态监控等，亦支持屏保修改、主题换肤、背景图修改等操作。</w:t>
            </w:r>
          </w:p>
          <w:p w14:paraId="32D912F0">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（2）支持图书、期刊、视频、专题、图片等多种资源的管理配置，用户勾选对应的资源分类后，可一键推送至设备进行展示；支持将单位自有版权的图书资源配置到设备进行展示。</w:t>
            </w:r>
          </w:p>
          <w:p w14:paraId="32D912F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（3）支持视频管理，用户可通过后台创建视频分类及视频信息，可对上传的视频信息进行增删改查等操作。</w:t>
            </w:r>
          </w:p>
          <w:p w14:paraId="32D912F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（4）支持图片管理，用户可通过后台创建图片分类及图片信息，可对上传的图片信息进行增删改查等管理操作，支持本地导入和在线上传图片两种方式。</w:t>
            </w:r>
          </w:p>
          <w:p w14:paraId="32D912F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（5）支持专题管理，用户可通过后台创建专题分类及专题信息，可对上传的专题信息进行增删改查等管理操作。</w:t>
            </w:r>
          </w:p>
          <w:p w14:paraId="32D912F4">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（6）★提供即时插播功能，可设置插播文字、图片、视频、超链接等多种类型的内容，插播的内容可以一键发布到指定的一台或多台设备，同时也可以一键关闭插播。</w:t>
            </w:r>
          </w:p>
          <w:p w14:paraId="32D912F5">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（7）★提供手机端管理模块，可对常用功能进行快速配置管理，如设备信息查看、在线/离线状态监控、主题切换、屏保配置、任务插播发布等常用操作。</w:t>
            </w:r>
          </w:p>
          <w:p w14:paraId="32D912F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（8）支持远程对硬件设备进行开关机、重启等操作，包括远程设置定时开关机时间，便于用户管理。</w:t>
            </w:r>
          </w:p>
          <w:p w14:paraId="32D912F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（9）支持数据统计功能，可以查看本单位下设备及资源使用情况，如下载量、点击量、阅读量等数据。支持按照单台设备、按月等条件快速检索查看相关统计数据。</w:t>
            </w:r>
          </w:p>
          <w:p w14:paraId="32D912F8">
            <w:pPr>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w:t>
            </w:r>
          </w:p>
        </w:tc>
      </w:tr>
      <w:tr w14:paraId="32D913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single" w:color="auto" w:sz="0" w:space="0"/>
              <w:right w:val="single" w:color="auto" w:sz="0" w:space="0"/>
            </w:tcBorders>
            <w:vAlign w:val="center"/>
          </w:tcPr>
          <w:p w14:paraId="32D912FA"/>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2FB">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其他功能</w:t>
            </w:r>
          </w:p>
          <w:p w14:paraId="32D912FC">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（1）★支持固定流速模式，此模式下用户无法改变资源流动速度。也支持手动滑动模式，此模式下用户可通过手指上下滑动，改变资源的流动速度，快速浏览。用户可根据需要，在以上两种模式间切换使用。</w:t>
            </w:r>
          </w:p>
          <w:p w14:paraId="32D912FD">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（2）★除常规的资源内容展示外，系统还支持配置应用至瀑布流设备，已配置的应用以图标的形式悬浮于瀑布流右侧区域，不影响设备的资源展示，用户通过点击应用图标，打开该应用进行浏览展示。</w:t>
            </w:r>
          </w:p>
          <w:p w14:paraId="32D912FE">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（3）系统应支持同时配置多个应用至设备。</w:t>
            </w:r>
          </w:p>
          <w:p w14:paraId="32D912F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（4）★支持资源导航功能，用户可在后台灵活配置此功能。选择开启该功能后，在设备界面可以按照资源名称首字母对资源信息进行快速查找。</w:t>
            </w:r>
          </w:p>
          <w:p w14:paraId="32D91300">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（5）★支持自动轮播功能，对于配置多种资源的瀑布流，支持自定义设置各资源瀑布流间的自动切换，同时支持资源瀑布流与应用之间的切换展示，可自定义设置切换间隔时间。  </w:t>
            </w:r>
          </w:p>
          <w:p w14:paraId="32D9130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（6）系统支持添加待机屏保，支持单张、多张轮播展示。</w:t>
            </w:r>
          </w:p>
          <w:p w14:paraId="32D9130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（7）支持资源背景图进行自定义更换展示。</w:t>
            </w:r>
          </w:p>
          <w:p w14:paraId="32D9130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（8）图书、期刊、视频、专题资源支持断网离线扫码带走，无网络时亦可正常展示流动。</w:t>
            </w:r>
          </w:p>
          <w:p w14:paraId="32D91304">
            <w:pPr>
              <w:spacing w:before="32" w:after="200" w:line="300" w:lineRule="auto"/>
              <w:ind w:right="109"/>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（9）支持与图书馆其他应用系统进行对接。按需方需求，提供后续所有相关接口，负责完成系统对接工作，同时提供技术支持服务，所需费用包含在本次采购中。</w:t>
            </w:r>
          </w:p>
          <w:p w14:paraId="32D91305">
            <w:pPr>
              <w:spacing w:before="32" w:after="200" w:line="300" w:lineRule="auto"/>
              <w:ind w:right="109"/>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（10）自动获取所对接系统数据，实现数据实时自动更新。</w:t>
            </w:r>
          </w:p>
          <w:p w14:paraId="32D91306">
            <w:pPr>
              <w:spacing w:before="32" w:after="200" w:line="300" w:lineRule="auto"/>
              <w:ind w:right="109"/>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（11）支持信息发布功能，包括发布文字、图片、视频、超链接等内容。</w:t>
            </w:r>
          </w:p>
        </w:tc>
      </w:tr>
      <w:tr w14:paraId="32D913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restart"/>
            <w:tcBorders>
              <w:top w:val="nil"/>
              <w:left w:val="single" w:color="auto" w:sz="6" w:space="0"/>
              <w:bottom w:val="single" w:color="auto" w:sz="6" w:space="0"/>
              <w:right w:val="single" w:color="auto" w:sz="6" w:space="0"/>
            </w:tcBorders>
            <w:tcMar>
              <w:left w:w="105" w:type="dxa"/>
              <w:right w:w="105" w:type="dxa"/>
            </w:tcMar>
            <w:vAlign w:val="center"/>
          </w:tcPr>
          <w:p w14:paraId="32D9130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瀑布流阅读屏（2套）</w:t>
            </w:r>
          </w:p>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309">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液晶拼接屏：4台</w:t>
            </w:r>
            <w:r>
              <w:rPr>
                <w:rFonts w:hint="eastAsia" w:ascii="仿宋" w:hAnsi="仿宋" w:eastAsia="仿宋" w:cs="仿宋"/>
                <w:color w:val="000000" w:themeColor="text1"/>
                <w:sz w:val="24"/>
                <w14:textFill>
                  <w14:solidFill>
                    <w14:schemeClr w14:val="tx1"/>
                  </w14:solidFill>
                </w14:textFill>
              </w:rPr>
              <w:t>（每套瀑布流阅读屏由2台液晶拼接屏拼接而成）</w:t>
            </w:r>
          </w:p>
          <w:p w14:paraId="32D9130A">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屏幕尺寸：不小于55英寸</w:t>
            </w:r>
          </w:p>
          <w:p w14:paraId="32D9130B">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分辨率：1920*1080;物理拼缝≤3.5mm（标准）；拼接屏通过3C认证，可提供检测报告；</w:t>
            </w:r>
          </w:p>
        </w:tc>
      </w:tr>
      <w:tr w14:paraId="32D913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nil"/>
              <w:right w:val="single" w:color="auto" w:sz="0" w:space="0"/>
            </w:tcBorders>
            <w:vAlign w:val="center"/>
          </w:tcPr>
          <w:p w14:paraId="32D9130D"/>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30E">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触摸框：2套</w:t>
            </w:r>
          </w:p>
          <w:p w14:paraId="32D9130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十点触摸</w:t>
            </w:r>
          </w:p>
        </w:tc>
      </w:tr>
      <w:tr w14:paraId="32D913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nil"/>
              <w:right w:val="single" w:color="auto" w:sz="0" w:space="0"/>
            </w:tcBorders>
            <w:vAlign w:val="center"/>
          </w:tcPr>
          <w:p w14:paraId="32D91311"/>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31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壁挂支架：2套</w:t>
            </w:r>
          </w:p>
          <w:p w14:paraId="32D9131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铝型材支架，材质坚固、不易变形</w:t>
            </w:r>
          </w:p>
        </w:tc>
      </w:tr>
      <w:tr w14:paraId="32D913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single" w:color="auto" w:sz="0" w:space="0"/>
              <w:right w:val="single" w:color="auto" w:sz="0" w:space="0"/>
            </w:tcBorders>
            <w:vAlign w:val="center"/>
          </w:tcPr>
          <w:p w14:paraId="32D91315"/>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31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配件辅料：2套</w:t>
            </w:r>
          </w:p>
          <w:p w14:paraId="32D9131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含6孔插排工业级电源线音响、定时开关</w:t>
            </w:r>
          </w:p>
        </w:tc>
      </w:tr>
      <w:tr w14:paraId="32D913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vMerge w:val="continue"/>
            <w:tcBorders>
              <w:top w:val="nil"/>
              <w:left w:val="single" w:color="auto" w:sz="0" w:space="0"/>
              <w:bottom w:val="single" w:color="auto" w:sz="0" w:space="0"/>
              <w:right w:val="single" w:color="auto" w:sz="0" w:space="0"/>
            </w:tcBorders>
            <w:vAlign w:val="center"/>
          </w:tcPr>
          <w:p w14:paraId="32D91319"/>
        </w:tc>
        <w:tc>
          <w:tcPr>
            <w:tcW w:w="7935" w:type="dxa"/>
            <w:tcBorders>
              <w:top w:val="single" w:color="auto" w:sz="6" w:space="0"/>
              <w:left w:val="single" w:color="auto" w:sz="6" w:space="0"/>
              <w:bottom w:val="single" w:color="auto" w:sz="6" w:space="0"/>
              <w:right w:val="single" w:color="auto" w:sz="6" w:space="0"/>
            </w:tcBorders>
            <w:tcMar>
              <w:left w:w="105" w:type="dxa"/>
              <w:right w:w="105" w:type="dxa"/>
            </w:tcMar>
          </w:tcPr>
          <w:p w14:paraId="32D9131A">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控制主机：2台</w:t>
            </w:r>
          </w:p>
          <w:p w14:paraId="32D9131B">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windows 10 64位操作系统；</w:t>
            </w:r>
          </w:p>
          <w:p w14:paraId="32D9131C">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CPU ：不低于i7-9700；</w:t>
            </w:r>
          </w:p>
          <w:p w14:paraId="32D9131D">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运行内存：16G；</w:t>
            </w:r>
          </w:p>
          <w:p w14:paraId="32D9131E">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存储：SSD固态硬盘不低于500G；</w:t>
            </w:r>
          </w:p>
          <w:p w14:paraId="32D9131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显卡：不低于P1000</w:t>
            </w:r>
          </w:p>
        </w:tc>
      </w:tr>
    </w:tbl>
    <w:p w14:paraId="32D91322">
      <w:pPr>
        <w:spacing w:line="276" w:lineRule="auto"/>
        <w:jc w:val="left"/>
        <w:rPr>
          <w:rFonts w:hint="eastAsia" w:ascii="仿宋" w:hAnsi="仿宋" w:eastAsia="仿宋"/>
          <w:sz w:val="32"/>
          <w:szCs w:val="32"/>
        </w:rPr>
      </w:pPr>
    </w:p>
    <w:p w14:paraId="32D91323">
      <w:pPr>
        <w:spacing w:line="276" w:lineRule="auto"/>
        <w:jc w:val="left"/>
        <w:rPr>
          <w:rFonts w:hint="eastAsia" w:ascii="仿宋" w:hAnsi="仿宋" w:eastAsia="仿宋"/>
          <w:sz w:val="32"/>
          <w:szCs w:val="32"/>
        </w:rPr>
      </w:pPr>
      <w:r>
        <w:rPr>
          <w:rFonts w:ascii="仿宋" w:hAnsi="仿宋" w:eastAsia="仿宋" w:cs="Calibri"/>
          <w:b/>
          <w:bCs/>
          <w:color w:val="000000" w:themeColor="text1"/>
          <w:sz w:val="32"/>
          <w:szCs w:val="32"/>
          <w14:textFill>
            <w14:solidFill>
              <w14:schemeClr w14:val="tx1"/>
            </w14:solidFill>
          </w14:textFill>
        </w:rPr>
        <w:t xml:space="preserve">（三）服务要求 </w:t>
      </w:r>
      <w:r>
        <w:br w:type="textWrapping"/>
      </w:r>
      <w:r>
        <w:rPr>
          <w:rFonts w:ascii="仿宋" w:hAnsi="仿宋" w:eastAsia="仿宋"/>
          <w:sz w:val="32"/>
          <w:szCs w:val="32"/>
        </w:rPr>
        <w:t>1.履约能力</w:t>
      </w:r>
    </w:p>
    <w:p w14:paraId="32D91324">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（1）符合《中华人民共和国政府采购法》第二十二条相关规定，即：</w:t>
      </w:r>
    </w:p>
    <w:p w14:paraId="32D91325">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a.具有独立承担民事责任的能力；</w:t>
      </w:r>
    </w:p>
    <w:p w14:paraId="32D91326">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b.具有良好的商业信誉和健全的财务会计制度；</w:t>
      </w:r>
    </w:p>
    <w:p w14:paraId="32D91327">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c.具有履行合同所必需的设备和专业技术能力；</w:t>
      </w:r>
    </w:p>
    <w:p w14:paraId="32D91328">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d.有依法缴纳税收和社会保障资金的良好记录；</w:t>
      </w:r>
    </w:p>
    <w:p w14:paraId="32D91329">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e.参加政府采购活动前三年内，在经营活动中没有重大违法记录；</w:t>
      </w:r>
    </w:p>
    <w:p w14:paraId="32D9132A">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f. 法律、行政法规规定的其他条件。</w:t>
      </w:r>
    </w:p>
    <w:p w14:paraId="32D9132B">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（2）符合《财政部关于在政府采购活动中查询及使用信用记录有关问题的通知》（财库〔2016〕125号）的相关要求。</w:t>
      </w:r>
    </w:p>
    <w:p w14:paraId="32D9132C">
      <w:pPr>
        <w:spacing w:line="276" w:lineRule="auto"/>
        <w:jc w:val="left"/>
        <w:rPr>
          <w:rFonts w:hint="eastAsia" w:ascii="仿宋" w:hAnsi="仿宋" w:eastAsia="仿宋"/>
          <w:sz w:val="32"/>
          <w:szCs w:val="32"/>
        </w:rPr>
      </w:pPr>
      <w:r>
        <w:rPr>
          <w:rFonts w:ascii="仿宋" w:hAnsi="仿宋" w:eastAsia="仿宋"/>
          <w:sz w:val="32"/>
          <w:szCs w:val="32"/>
        </w:rPr>
        <w:t xml:space="preserve">2.交货要求 </w:t>
      </w:r>
      <w:r>
        <w:br w:type="textWrapping"/>
      </w:r>
      <w:r>
        <w:rPr>
          <w:rFonts w:ascii="仿宋" w:hAnsi="仿宋" w:eastAsia="仿宋"/>
          <w:sz w:val="32"/>
          <w:szCs w:val="32"/>
        </w:rPr>
        <w:t xml:space="preserve">（1）交货时间：合同签订合同后一个月内完成瀑布流安装、调试。 </w:t>
      </w:r>
      <w:r>
        <w:br w:type="textWrapping"/>
      </w:r>
      <w:r>
        <w:rPr>
          <w:rFonts w:ascii="仿宋" w:hAnsi="仿宋" w:eastAsia="仿宋"/>
          <w:sz w:val="32"/>
          <w:szCs w:val="32"/>
        </w:rPr>
        <w:t>（2）交货地点：浙江大学国际校区校内指定地点。</w:t>
      </w:r>
    </w:p>
    <w:p w14:paraId="32D9132D">
      <w:pPr>
        <w:spacing w:line="276" w:lineRule="auto"/>
        <w:jc w:val="left"/>
        <w:rPr>
          <w:rFonts w:hint="eastAsia" w:ascii="仿宋" w:hAnsi="仿宋" w:eastAsia="仿宋"/>
          <w:sz w:val="32"/>
          <w:szCs w:val="32"/>
        </w:rPr>
      </w:pPr>
      <w:r>
        <w:rPr>
          <w:rFonts w:ascii="仿宋" w:hAnsi="仿宋" w:eastAsia="仿宋"/>
          <w:sz w:val="32"/>
          <w:szCs w:val="32"/>
        </w:rPr>
        <w:t>（3）设计安装：供方须按需方实际情况和要求进行瀑布流设备美化设计、安装实施，提供具体方案（附参考图）以保证瀑布流设备外观、颜色、规格等与图书馆设施环境相协调，瀑布流样式须经过需方确认。不得对地面、墙面等造成破坏，须对现场进行清理及恢复。</w:t>
      </w:r>
    </w:p>
    <w:p w14:paraId="32D9132E">
      <w:pPr>
        <w:spacing w:line="276" w:lineRule="auto"/>
        <w:jc w:val="left"/>
        <w:rPr>
          <w:rFonts w:hint="eastAsia" w:ascii="仿宋" w:hAnsi="仿宋" w:eastAsia="仿宋"/>
          <w:sz w:val="32"/>
          <w:szCs w:val="32"/>
        </w:rPr>
      </w:pPr>
      <w:r>
        <w:rPr>
          <w:rFonts w:ascii="仿宋" w:hAnsi="仿宋" w:eastAsia="仿宋"/>
          <w:sz w:val="32"/>
          <w:szCs w:val="32"/>
        </w:rPr>
        <w:t>3.验收条件</w:t>
      </w:r>
    </w:p>
    <w:p w14:paraId="32D9132F">
      <w:pPr>
        <w:spacing w:line="276"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（1）当满足以下条件时，通过验收：</w:t>
      </w:r>
    </w:p>
    <w:p w14:paraId="32D91330">
      <w:pPr>
        <w:spacing w:line="276" w:lineRule="auto"/>
        <w:ind w:firstLine="42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a.供方已按照合同规定提供全部产品及完整的技术资料。</w:t>
      </w:r>
    </w:p>
    <w:p w14:paraId="32D91331">
      <w:pPr>
        <w:spacing w:line="276" w:lineRule="auto"/>
        <w:ind w:firstLine="42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b.货物符合询价文件技术规格书的要求</w:t>
      </w:r>
      <w:r>
        <w:rPr>
          <w:rFonts w:ascii="仿宋" w:hAnsi="仿宋" w:eastAsia="仿宋"/>
          <w:sz w:val="32"/>
          <w:szCs w:val="32"/>
        </w:rPr>
        <w:t>和国家有关质量标准</w:t>
      </w:r>
      <w:r>
        <w:rPr>
          <w:rFonts w:ascii="仿宋" w:hAnsi="仿宋" w:eastAsia="仿宋" w:cs="仿宋"/>
          <w:color w:val="000000" w:themeColor="text1"/>
          <w:sz w:val="32"/>
          <w:szCs w:val="32"/>
          <w14:textFill>
            <w14:solidFill>
              <w14:schemeClr w14:val="tx1"/>
            </w14:solidFill>
          </w14:textFill>
        </w:rPr>
        <w:t>，硬件性能、软件性能满足要求。</w:t>
      </w:r>
    </w:p>
    <w:p w14:paraId="32D91332">
      <w:pPr>
        <w:spacing w:line="276" w:lineRule="auto"/>
        <w:ind w:firstLine="42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c.货物具备产品合格证。</w:t>
      </w:r>
    </w:p>
    <w:p w14:paraId="32D91333">
      <w:pPr>
        <w:spacing w:line="276" w:lineRule="auto"/>
        <w:rPr>
          <w:rFonts w:hint="eastAsia" w:ascii="仿宋" w:hAnsi="仿宋" w:eastAsia="仿宋"/>
          <w:sz w:val="32"/>
          <w:szCs w:val="32"/>
        </w:rPr>
      </w:pPr>
      <w:r>
        <w:rPr>
          <w:rFonts w:ascii="仿宋" w:hAnsi="仿宋" w:eastAsia="仿宋" w:cs="仿宋"/>
          <w:color w:val="000000" w:themeColor="text1"/>
          <w:sz w:val="32"/>
          <w:szCs w:val="32"/>
          <w14:textFill>
            <w14:solidFill>
              <w14:schemeClr w14:val="tx1"/>
            </w14:solidFill>
          </w14:textFill>
        </w:rPr>
        <w:t>（2）产品保修期自验收合格之日起算。</w:t>
      </w:r>
      <w:r>
        <w:rPr>
          <w:rFonts w:ascii="仿宋" w:hAnsi="仿宋" w:eastAsia="仿宋"/>
          <w:sz w:val="32"/>
          <w:szCs w:val="32"/>
        </w:rPr>
        <w:t xml:space="preserve"> </w:t>
      </w:r>
      <w:r>
        <w:br w:type="textWrapping"/>
      </w:r>
      <w:r>
        <w:rPr>
          <w:rFonts w:ascii="仿宋" w:hAnsi="仿宋" w:eastAsia="仿宋"/>
          <w:sz w:val="32"/>
          <w:szCs w:val="32"/>
        </w:rPr>
        <w:t xml:space="preserve">4.售后服务要求 </w:t>
      </w:r>
      <w:r>
        <w:br w:type="textWrapping"/>
      </w:r>
      <w:r>
        <w:rPr>
          <w:rFonts w:ascii="仿宋" w:hAnsi="仿宋" w:eastAsia="仿宋"/>
          <w:sz w:val="32"/>
          <w:szCs w:val="32"/>
        </w:rPr>
        <w:t>（1）系统须提供</w:t>
      </w:r>
      <w:r>
        <w:rPr>
          <w:rFonts w:hint="eastAsia" w:ascii="仿宋" w:hAnsi="仿宋" w:eastAsia="仿宋"/>
          <w:sz w:val="32"/>
          <w:szCs w:val="32"/>
        </w:rPr>
        <w:t>3</w:t>
      </w:r>
      <w:r>
        <w:rPr>
          <w:rFonts w:ascii="仿宋" w:hAnsi="仿宋" w:eastAsia="仿宋"/>
          <w:sz w:val="32"/>
          <w:szCs w:val="32"/>
        </w:rPr>
        <w:t xml:space="preserve">年原厂质保（包括软件系统升级、资源更新、整机、备件、人工、现场），提供所投产品制造厂家针对本项目出具的售后服务承诺函。保期内供方提供给需方的所有资源，质保期结束后需方也可永久免费使用。出保后，每年维保费用（含软件系统升级、硬件维护和资源更新）需由供方在投标时注明，服务标准与询价标准相同，是否续保由需方决定。  </w:t>
      </w:r>
      <w:r>
        <w:br w:type="textWrapping"/>
      </w:r>
      <w:r>
        <w:rPr>
          <w:rFonts w:ascii="仿宋" w:hAnsi="仿宋" w:eastAsia="仿宋"/>
          <w:sz w:val="32"/>
          <w:szCs w:val="32"/>
        </w:rPr>
        <w:t xml:space="preserve">（2）提供每周7*24小时服务，1小时内报修响应，若无法解决则24小时内到达现场，48小时内完成故障修复。故障48小时内无法解决的，按需方要求免费提供备用产品。 </w:t>
      </w:r>
      <w:r>
        <w:br w:type="textWrapping"/>
      </w:r>
      <w:r>
        <w:rPr>
          <w:rFonts w:ascii="仿宋" w:hAnsi="仿宋" w:eastAsia="仿宋"/>
          <w:sz w:val="32"/>
          <w:szCs w:val="32"/>
        </w:rPr>
        <w:t xml:space="preserve">（3）在质保期内，供方负责提供免费的使用培训和定期设备巡检服务（每学期至少1次），负责提供定期清洁维保服务（每学期至少2次）。 </w:t>
      </w:r>
    </w:p>
    <w:p w14:paraId="32D91334">
      <w:pPr>
        <w:spacing w:line="276" w:lineRule="auto"/>
        <w:jc w:val="left"/>
        <w:rPr>
          <w:rFonts w:hint="eastAsia" w:ascii="仿宋" w:hAnsi="仿宋" w:eastAsia="仿宋"/>
          <w:sz w:val="32"/>
          <w:szCs w:val="32"/>
        </w:rPr>
      </w:pPr>
      <w:r>
        <w:rPr>
          <w:rFonts w:ascii="仿宋" w:hAnsi="仿宋" w:eastAsia="仿宋"/>
          <w:sz w:val="32"/>
          <w:szCs w:val="32"/>
        </w:rPr>
        <w:t xml:space="preserve">（4）在质保期内，供方须免费配合需方对设备进行安装位置的调整（不限次数）。 </w:t>
      </w:r>
    </w:p>
    <w:p w14:paraId="32D91335">
      <w:pPr>
        <w:spacing w:line="276" w:lineRule="auto"/>
        <w:jc w:val="left"/>
        <w:rPr>
          <w:rFonts w:hint="eastAsia" w:ascii="仿宋" w:hAnsi="仿宋" w:eastAsia="仿宋"/>
          <w:sz w:val="32"/>
          <w:szCs w:val="32"/>
        </w:rPr>
      </w:pPr>
      <w:r>
        <w:rPr>
          <w:rFonts w:ascii="仿宋" w:hAnsi="仿宋" w:eastAsia="仿宋"/>
          <w:sz w:val="32"/>
          <w:szCs w:val="32"/>
        </w:rPr>
        <w:t xml:space="preserve">（5）供方须提供关于所投产品可安全、稳定运行的承诺，若因产品设计缺陷、质量问题、安装不规范、巡检不到位等原因给需方造成人员损伤、财产损失的，供方承担全部责任。 </w:t>
      </w:r>
    </w:p>
    <w:p w14:paraId="32D91336">
      <w:pPr>
        <w:spacing w:line="276" w:lineRule="auto"/>
        <w:jc w:val="left"/>
        <w:rPr>
          <w:rFonts w:hint="eastAsia" w:ascii="仿宋" w:hAnsi="仿宋" w:eastAsia="仿宋"/>
          <w:sz w:val="32"/>
          <w:szCs w:val="32"/>
        </w:rPr>
      </w:pPr>
      <w:r>
        <w:rPr>
          <w:rFonts w:ascii="仿宋" w:hAnsi="仿宋" w:eastAsia="仿宋"/>
          <w:sz w:val="32"/>
          <w:szCs w:val="32"/>
        </w:rPr>
        <w:t xml:space="preserve">（6）供方须负责系统实施、部署，因与图书馆其他应用系统对接产生的所有费用均包含在本项目中。 </w:t>
      </w:r>
    </w:p>
    <w:p w14:paraId="32D91337">
      <w:pPr>
        <w:spacing w:line="276" w:lineRule="auto"/>
        <w:jc w:val="left"/>
        <w:rPr>
          <w:rFonts w:hint="eastAsia" w:ascii="仿宋" w:hAnsi="仿宋" w:eastAsia="仿宋"/>
          <w:sz w:val="32"/>
          <w:szCs w:val="32"/>
        </w:rPr>
      </w:pPr>
      <w:r>
        <w:rPr>
          <w:rFonts w:ascii="仿宋" w:hAnsi="仿宋" w:eastAsia="仿宋"/>
          <w:sz w:val="32"/>
          <w:szCs w:val="32"/>
        </w:rPr>
        <w:t>（7）供方须提供详细完整的项目实施文档、系统部署实施手册、使用说明书等。</w:t>
      </w:r>
    </w:p>
    <w:p w14:paraId="32D91338">
      <w:pPr>
        <w:spacing w:line="276" w:lineRule="auto"/>
        <w:jc w:val="left"/>
        <w:rPr>
          <w:rFonts w:hint="eastAsia" w:ascii="仿宋" w:hAnsi="仿宋" w:eastAsia="仿宋"/>
          <w:sz w:val="32"/>
          <w:szCs w:val="32"/>
        </w:rPr>
      </w:pPr>
      <w:r>
        <w:rPr>
          <w:rFonts w:ascii="仿宋" w:hAnsi="仿宋" w:eastAsia="仿宋"/>
          <w:sz w:val="32"/>
          <w:szCs w:val="32"/>
        </w:rPr>
        <w:t xml:space="preserve"> 5.许可证明</w:t>
      </w:r>
    </w:p>
    <w:p w14:paraId="32D91339">
      <w:pPr>
        <w:spacing w:line="276" w:lineRule="auto"/>
        <w:jc w:val="left"/>
        <w:rPr>
          <w:rFonts w:hint="eastAsia" w:ascii="仿宋" w:hAnsi="仿宋" w:eastAsia="仿宋"/>
          <w:sz w:val="32"/>
          <w:szCs w:val="32"/>
        </w:rPr>
      </w:pPr>
      <w:r>
        <w:rPr>
          <w:rFonts w:ascii="仿宋" w:hAnsi="仿宋" w:eastAsia="仿宋"/>
          <w:sz w:val="32"/>
          <w:szCs w:val="32"/>
        </w:rPr>
        <w:t>（1）供方需提供瀑布流电子借阅系统相关的软件著作权证书。</w:t>
      </w:r>
    </w:p>
    <w:p w14:paraId="32D9133A">
      <w:pPr>
        <w:spacing w:line="276" w:lineRule="auto"/>
        <w:jc w:val="left"/>
        <w:rPr>
          <w:rFonts w:hint="eastAsia" w:ascii="仿宋" w:hAnsi="仿宋" w:eastAsia="仿宋"/>
          <w:sz w:val="32"/>
          <w:szCs w:val="32"/>
        </w:rPr>
      </w:pPr>
      <w:r>
        <w:rPr>
          <w:rFonts w:ascii="仿宋" w:hAnsi="仿宋" w:eastAsia="仿宋"/>
          <w:sz w:val="32"/>
          <w:szCs w:val="32"/>
        </w:rPr>
        <w:t>（2）供方须提供中华人民共和国出版物经营许可证。</w:t>
      </w:r>
    </w:p>
    <w:p w14:paraId="32D9133B">
      <w:pPr>
        <w:spacing w:line="276" w:lineRule="auto"/>
        <w:jc w:val="left"/>
        <w:rPr>
          <w:rFonts w:hint="eastAsia" w:ascii="仿宋" w:hAnsi="仿宋" w:eastAsia="仿宋"/>
          <w:sz w:val="32"/>
          <w:szCs w:val="32"/>
        </w:rPr>
      </w:pPr>
      <w:r>
        <w:rPr>
          <w:rFonts w:ascii="仿宋" w:hAnsi="仿宋" w:eastAsia="仿宋"/>
          <w:sz w:val="32"/>
          <w:szCs w:val="32"/>
        </w:rPr>
        <w:t>（3）供方须提供中华人民共和国网络出版服务许可证。</w:t>
      </w:r>
    </w:p>
    <w:p w14:paraId="32D9133D">
      <w:pPr>
        <w:spacing w:line="276" w:lineRule="auto"/>
        <w:jc w:val="left"/>
        <w:rPr>
          <w:rFonts w:hint="eastAsia" w:ascii="仿宋" w:hAnsi="仿宋" w:eastAsia="仿宋"/>
          <w:sz w:val="32"/>
          <w:szCs w:val="32"/>
        </w:rPr>
      </w:pPr>
      <w:r>
        <w:rPr>
          <w:rFonts w:ascii="仿宋" w:hAnsi="仿宋" w:eastAsia="仿宋"/>
          <w:sz w:val="32"/>
          <w:szCs w:val="32"/>
        </w:rPr>
        <w:t>（4）供方须提供广播电视节目制作经营许可证。</w:t>
      </w:r>
      <w:r>
        <w:br w:type="textWrapping"/>
      </w:r>
      <w:r>
        <w:rPr>
          <w:rFonts w:ascii="仿宋" w:hAnsi="仿宋" w:eastAsia="仿宋" w:cs="Calibri"/>
          <w:b/>
          <w:bCs/>
          <w:color w:val="000000" w:themeColor="text1"/>
          <w:sz w:val="32"/>
          <w:szCs w:val="32"/>
          <w14:textFill>
            <w14:solidFill>
              <w14:schemeClr w14:val="tx1"/>
            </w14:solidFill>
          </w14:textFill>
        </w:rPr>
        <w:t>（四）履约保证金及货款</w:t>
      </w:r>
      <w:r>
        <w:rPr>
          <w:rFonts w:ascii="仿宋" w:hAnsi="仿宋" w:eastAsia="仿宋"/>
          <w:sz w:val="32"/>
          <w:szCs w:val="32"/>
        </w:rPr>
        <w:t xml:space="preserve">  </w:t>
      </w:r>
    </w:p>
    <w:p w14:paraId="32D9133E">
      <w:pPr>
        <w:spacing w:line="276" w:lineRule="auto"/>
        <w:jc w:val="left"/>
        <w:rPr>
          <w:rFonts w:hint="eastAsia" w:ascii="仿宋" w:hAnsi="仿宋" w:eastAsia="仿宋"/>
          <w:sz w:val="32"/>
          <w:szCs w:val="32"/>
        </w:rPr>
      </w:pPr>
      <w:r>
        <w:rPr>
          <w:rFonts w:ascii="仿宋" w:hAnsi="仿宋" w:eastAsia="仿宋"/>
          <w:sz w:val="32"/>
          <w:szCs w:val="32"/>
        </w:rPr>
        <w:t xml:space="preserve">1.履约保证金  </w:t>
      </w:r>
    </w:p>
    <w:p w14:paraId="32D9133F">
      <w:pPr>
        <w:spacing w:line="276" w:lineRule="auto"/>
        <w:jc w:val="left"/>
      </w:pPr>
      <w:r>
        <w:rPr>
          <w:rFonts w:ascii="仿宋" w:hAnsi="仿宋" w:eastAsia="仿宋"/>
          <w:sz w:val="32"/>
          <w:szCs w:val="32"/>
        </w:rPr>
        <w:t xml:space="preserve">（1）供方应在合同签订前向采购方缴纳履约保证金。本合同履约保证金为合同总价的5%。  </w:t>
      </w:r>
    </w:p>
    <w:p w14:paraId="32D91340">
      <w:pPr>
        <w:spacing w:line="276" w:lineRule="auto"/>
        <w:ind w:left="420" w:firstLine="303"/>
        <w:jc w:val="left"/>
      </w:pPr>
      <w:r>
        <w:rPr>
          <w:rFonts w:ascii="仿宋" w:hAnsi="仿宋" w:eastAsia="仿宋"/>
          <w:sz w:val="32"/>
          <w:szCs w:val="32"/>
        </w:rPr>
        <w:t xml:space="preserve">支付方式：以电汇/转账支票/银行转账形式交至浙江大学指定账户  </w:t>
      </w:r>
    </w:p>
    <w:p w14:paraId="32D91341">
      <w:pPr>
        <w:spacing w:line="276" w:lineRule="auto"/>
        <w:ind w:left="420" w:firstLine="303"/>
        <w:jc w:val="left"/>
      </w:pPr>
      <w:r>
        <w:rPr>
          <w:rFonts w:ascii="仿宋" w:hAnsi="仿宋" w:eastAsia="仿宋"/>
          <w:sz w:val="32"/>
          <w:szCs w:val="32"/>
        </w:rPr>
        <w:t xml:space="preserve">帐户名称：浙江大学  </w:t>
      </w:r>
    </w:p>
    <w:p w14:paraId="32D91342">
      <w:pPr>
        <w:spacing w:line="276" w:lineRule="auto"/>
        <w:ind w:left="420" w:firstLine="303"/>
        <w:jc w:val="left"/>
      </w:pPr>
      <w:r>
        <w:rPr>
          <w:rFonts w:ascii="仿宋" w:hAnsi="仿宋" w:eastAsia="仿宋"/>
          <w:sz w:val="32"/>
          <w:szCs w:val="32"/>
        </w:rPr>
        <w:t xml:space="preserve">开户银行：中国农业银行海宁市支行  </w:t>
      </w:r>
    </w:p>
    <w:p w14:paraId="32D91343">
      <w:pPr>
        <w:spacing w:line="276" w:lineRule="auto"/>
        <w:ind w:left="420" w:firstLine="303"/>
        <w:jc w:val="left"/>
      </w:pPr>
      <w:r>
        <w:rPr>
          <w:rFonts w:ascii="仿宋" w:hAnsi="仿宋" w:eastAsia="仿宋"/>
          <w:sz w:val="32"/>
          <w:szCs w:val="32"/>
        </w:rPr>
        <w:t xml:space="preserve">银行账号：19 3501 0104 0666 333  </w:t>
      </w:r>
    </w:p>
    <w:p w14:paraId="32D91344">
      <w:pPr>
        <w:spacing w:line="276" w:lineRule="auto"/>
        <w:ind w:left="420"/>
        <w:jc w:val="left"/>
        <w:rPr>
          <w:rFonts w:hint="eastAsia" w:ascii="仿宋" w:hAnsi="仿宋" w:eastAsia="仿宋"/>
          <w:sz w:val="32"/>
          <w:szCs w:val="32"/>
        </w:rPr>
      </w:pPr>
      <w:r>
        <w:rPr>
          <w:rFonts w:ascii="仿宋" w:hAnsi="仿宋" w:eastAsia="仿宋"/>
          <w:sz w:val="32"/>
          <w:szCs w:val="32"/>
        </w:rPr>
        <w:t xml:space="preserve">（2）履约保证金在验收合格之后自动转为质量保证金，质量保证金在验收合格满一年（12个月）无违约及质量问题，20个工作日内无息退还（遇寒暑假及国家假日延顺）。   </w:t>
      </w:r>
    </w:p>
    <w:p w14:paraId="32D91345">
      <w:pPr>
        <w:spacing w:line="276" w:lineRule="auto"/>
        <w:jc w:val="left"/>
        <w:rPr>
          <w:rFonts w:hint="eastAsia" w:ascii="仿宋" w:hAnsi="仿宋" w:eastAsia="仿宋"/>
          <w:sz w:val="32"/>
          <w:szCs w:val="32"/>
        </w:rPr>
      </w:pPr>
      <w:r>
        <w:rPr>
          <w:rFonts w:ascii="仿宋" w:hAnsi="仿宋" w:eastAsia="仿宋"/>
          <w:sz w:val="32"/>
          <w:szCs w:val="32"/>
        </w:rPr>
        <w:t xml:space="preserve">2.结算方式  </w:t>
      </w:r>
    </w:p>
    <w:p w14:paraId="32D91346">
      <w:pPr>
        <w:spacing w:line="276" w:lineRule="auto"/>
        <w:jc w:val="left"/>
        <w:rPr>
          <w:rFonts w:hint="eastAsia" w:ascii="仿宋" w:hAnsi="仿宋" w:eastAsia="仿宋"/>
          <w:sz w:val="32"/>
          <w:szCs w:val="32"/>
        </w:rPr>
      </w:pPr>
      <w:r>
        <w:rPr>
          <w:rFonts w:ascii="仿宋" w:hAnsi="仿宋" w:eastAsia="仿宋"/>
          <w:sz w:val="32"/>
          <w:szCs w:val="32"/>
        </w:rPr>
        <w:t xml:space="preserve">（1）供方应一次性交付全部采购资源。项目完成安装、上线后，需方依据询价文件上的技术规格要求和国家有关质量标准在30个工作日（遇假期顺延）内验收完毕，并出具验收报告。对验收不合格的不予接收。非不可抗力因素而拒绝验收或无故刁难，超过规定期限的，视同已验收，损失由需方负。  </w:t>
      </w:r>
    </w:p>
    <w:p w14:paraId="32D91347">
      <w:pPr>
        <w:spacing w:line="276" w:lineRule="auto"/>
        <w:jc w:val="left"/>
      </w:pPr>
      <w:r>
        <w:rPr>
          <w:rFonts w:ascii="仿宋" w:hAnsi="仿宋" w:eastAsia="仿宋"/>
          <w:sz w:val="32"/>
          <w:szCs w:val="32"/>
        </w:rPr>
        <w:t xml:space="preserve">（2）需方向供方的付款计划安排如下：  </w:t>
      </w:r>
    </w:p>
    <w:p w14:paraId="32D91348">
      <w:pPr>
        <w:spacing w:line="276" w:lineRule="auto"/>
        <w:ind w:left="420" w:firstLine="303"/>
        <w:jc w:val="left"/>
      </w:pPr>
      <w:r>
        <w:rPr>
          <w:rFonts w:ascii="仿宋" w:hAnsi="仿宋" w:eastAsia="仿宋"/>
          <w:sz w:val="32"/>
          <w:szCs w:val="32"/>
        </w:rPr>
        <w:t xml:space="preserve">第一期款：验收通过后，支付至合同金额70%；  </w:t>
      </w:r>
    </w:p>
    <w:p w14:paraId="32D91349">
      <w:pPr>
        <w:spacing w:line="276" w:lineRule="auto"/>
        <w:ind w:left="420" w:firstLine="303"/>
        <w:jc w:val="left"/>
        <w:rPr>
          <w:rFonts w:ascii="仿宋" w:hAnsi="仿宋" w:eastAsia="仿宋"/>
          <w:b/>
          <w:bCs/>
          <w:color w:val="000000" w:themeColor="text1"/>
          <w:sz w:val="32"/>
          <w:szCs w:val="32"/>
          <w14:textFill>
            <w14:solidFill>
              <w14:schemeClr w14:val="tx1"/>
            </w14:solidFill>
          </w14:textFill>
        </w:rPr>
      </w:pPr>
      <w:r>
        <w:rPr>
          <w:rFonts w:ascii="仿宋" w:hAnsi="仿宋" w:eastAsia="仿宋"/>
          <w:sz w:val="32"/>
          <w:szCs w:val="32"/>
        </w:rPr>
        <w:t>第二期款：验收通过试运行三个月后无质量问题，凭支付至合同金额100%。</w:t>
      </w:r>
    </w:p>
    <w:p w14:paraId="32D9134A">
      <w:pPr>
        <w:spacing w:line="276" w:lineRule="auto"/>
        <w:jc w:val="left"/>
        <w:rPr>
          <w:rFonts w:hint="eastAsia"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三、报价文件要求</w:t>
      </w:r>
    </w:p>
    <w:p w14:paraId="32D9134B">
      <w:pPr>
        <w:spacing w:line="276" w:lineRule="auto"/>
        <w:ind w:firstLine="420"/>
        <w:rPr>
          <w:rStyle w:val="25"/>
          <w:rFonts w:hint="eastAsia" w:ascii="仿宋" w:hAnsi="仿宋" w:eastAsia="仿宋"/>
          <w:sz w:val="32"/>
          <w:szCs w:val="32"/>
        </w:rPr>
      </w:pPr>
      <w:r>
        <w:rPr>
          <w:rStyle w:val="25"/>
          <w:rFonts w:hint="eastAsia" w:ascii="仿宋" w:hAnsi="仿宋" w:eastAsia="仿宋"/>
          <w:sz w:val="32"/>
          <w:szCs w:val="32"/>
        </w:rPr>
        <w:t>1、报价单位应根据询价单位</w:t>
      </w:r>
      <w:r>
        <w:rPr>
          <w:rStyle w:val="25"/>
          <w:rFonts w:ascii="仿宋" w:hAnsi="仿宋" w:eastAsia="仿宋"/>
          <w:sz w:val="32"/>
          <w:szCs w:val="32"/>
        </w:rPr>
        <w:t>需求编制报价</w:t>
      </w:r>
      <w:r>
        <w:rPr>
          <w:rStyle w:val="25"/>
          <w:rFonts w:hint="eastAsia" w:ascii="仿宋" w:hAnsi="仿宋" w:eastAsia="仿宋"/>
          <w:sz w:val="32"/>
          <w:szCs w:val="32"/>
        </w:rPr>
        <w:t>文件，</w:t>
      </w:r>
      <w:r>
        <w:rPr>
          <w:rStyle w:val="25"/>
          <w:rFonts w:ascii="仿宋" w:hAnsi="仿宋" w:eastAsia="仿宋"/>
          <w:sz w:val="32"/>
          <w:szCs w:val="32"/>
        </w:rPr>
        <w:t>文件格式</w:t>
      </w:r>
      <w:r>
        <w:rPr>
          <w:rStyle w:val="25"/>
          <w:rFonts w:hint="eastAsia" w:ascii="仿宋" w:hAnsi="仿宋" w:eastAsia="仿宋"/>
          <w:sz w:val="32"/>
          <w:szCs w:val="32"/>
        </w:rPr>
        <w:t>及</w:t>
      </w:r>
      <w:r>
        <w:rPr>
          <w:rStyle w:val="25"/>
          <w:rFonts w:ascii="仿宋" w:hAnsi="仿宋" w:eastAsia="仿宋"/>
          <w:sz w:val="32"/>
          <w:szCs w:val="32"/>
        </w:rPr>
        <w:t>要求参考第</w:t>
      </w:r>
      <w:r>
        <w:rPr>
          <w:rStyle w:val="25"/>
          <w:rFonts w:hint="eastAsia" w:ascii="仿宋" w:hAnsi="仿宋" w:eastAsia="仿宋"/>
          <w:sz w:val="32"/>
          <w:szCs w:val="32"/>
        </w:rPr>
        <w:t>三</w:t>
      </w:r>
      <w:r>
        <w:rPr>
          <w:rStyle w:val="25"/>
          <w:rFonts w:ascii="仿宋" w:hAnsi="仿宋" w:eastAsia="仿宋"/>
          <w:sz w:val="32"/>
          <w:szCs w:val="32"/>
        </w:rPr>
        <w:t>部分</w:t>
      </w:r>
      <w:r>
        <w:rPr>
          <w:rStyle w:val="25"/>
          <w:rFonts w:hint="eastAsia" w:ascii="仿宋" w:hAnsi="仿宋" w:eastAsia="仿宋"/>
          <w:sz w:val="32"/>
          <w:szCs w:val="32"/>
        </w:rPr>
        <w:t>。</w:t>
      </w:r>
    </w:p>
    <w:p w14:paraId="32D9134C">
      <w:pPr>
        <w:spacing w:line="276" w:lineRule="auto"/>
        <w:ind w:firstLine="420"/>
        <w:rPr>
          <w:rStyle w:val="25"/>
          <w:rFonts w:hint="eastAsia" w:ascii="仿宋" w:hAnsi="仿宋" w:eastAsia="仿宋"/>
          <w:sz w:val="32"/>
          <w:szCs w:val="32"/>
        </w:rPr>
      </w:pPr>
      <w:r>
        <w:rPr>
          <w:rStyle w:val="25"/>
          <w:rFonts w:hint="eastAsia" w:ascii="仿宋" w:hAnsi="仿宋" w:eastAsia="仿宋"/>
          <w:sz w:val="32"/>
          <w:szCs w:val="32"/>
        </w:rPr>
        <w:t>2、报价单位应提供盖有</w:t>
      </w:r>
      <w:r>
        <w:rPr>
          <w:rStyle w:val="25"/>
          <w:rFonts w:ascii="仿宋" w:hAnsi="仿宋" w:eastAsia="仿宋"/>
          <w:sz w:val="32"/>
          <w:szCs w:val="32"/>
        </w:rPr>
        <w:t>公章的报价文件。</w:t>
      </w:r>
    </w:p>
    <w:p w14:paraId="32D9134D">
      <w:pPr>
        <w:spacing w:line="276" w:lineRule="auto"/>
        <w:ind w:firstLine="420"/>
        <w:rPr>
          <w:rStyle w:val="25"/>
          <w:rFonts w:hint="eastAsia" w:ascii="仿宋" w:hAnsi="仿宋" w:eastAsia="仿宋"/>
          <w:sz w:val="32"/>
          <w:szCs w:val="32"/>
        </w:rPr>
      </w:pPr>
      <w:r>
        <w:rPr>
          <w:rStyle w:val="25"/>
          <w:rFonts w:ascii="仿宋" w:hAnsi="仿宋" w:eastAsia="仿宋"/>
          <w:sz w:val="32"/>
          <w:szCs w:val="32"/>
        </w:rPr>
        <w:t>3、报价文件编制完成后，请于2025年7月</w:t>
      </w:r>
      <w:r>
        <w:rPr>
          <w:rStyle w:val="25"/>
          <w:rFonts w:hint="eastAsia" w:ascii="仿宋" w:hAnsi="仿宋" w:eastAsia="仿宋"/>
          <w:sz w:val="32"/>
          <w:szCs w:val="32"/>
          <w:lang w:val="en-US" w:eastAsia="zh-CN"/>
        </w:rPr>
        <w:t>12</w:t>
      </w:r>
      <w:r>
        <w:rPr>
          <w:rStyle w:val="25"/>
          <w:rFonts w:ascii="仿宋" w:hAnsi="仿宋" w:eastAsia="仿宋"/>
          <w:sz w:val="32"/>
          <w:szCs w:val="32"/>
        </w:rPr>
        <w:t>日前提交至</w:t>
      </w:r>
      <w:r>
        <w:rPr>
          <w:rStyle w:val="25"/>
          <w:rFonts w:hint="eastAsia" w:ascii="仿宋" w:hAnsi="仿宋" w:eastAsia="仿宋"/>
          <w:sz w:val="32"/>
          <w:szCs w:val="32"/>
          <w:lang w:val="en-US" w:eastAsia="zh-CN"/>
        </w:rPr>
        <w:t>盖章扫描版本</w:t>
      </w:r>
      <w:r>
        <w:rPr>
          <w:rStyle w:val="25"/>
          <w:rFonts w:ascii="仿宋" w:hAnsi="仿宋" w:eastAsia="仿宋"/>
          <w:sz w:val="32"/>
          <w:szCs w:val="32"/>
        </w:rPr>
        <w:t>询价单位</w:t>
      </w:r>
      <w:r>
        <w:rPr>
          <w:rStyle w:val="25"/>
          <w:rFonts w:hint="eastAsia" w:ascii="仿宋" w:hAnsi="仿宋" w:eastAsia="仿宋"/>
          <w:sz w:val="32"/>
          <w:szCs w:val="32"/>
          <w:lang w:val="en-US" w:eastAsia="zh-CN"/>
        </w:rPr>
        <w:t>zhaolv@intl.zju.edu.cn</w:t>
      </w:r>
      <w:bookmarkStart w:id="1" w:name="_GoBack"/>
      <w:bookmarkEnd w:id="1"/>
      <w:r>
        <w:rPr>
          <w:rStyle w:val="25"/>
          <w:rFonts w:ascii="仿宋" w:hAnsi="仿宋" w:eastAsia="仿宋"/>
          <w:sz w:val="32"/>
          <w:szCs w:val="32"/>
        </w:rPr>
        <w:t>。</w:t>
      </w:r>
    </w:p>
    <w:p w14:paraId="32D9134E">
      <w:pPr>
        <w:spacing w:line="276" w:lineRule="auto"/>
        <w:rPr>
          <w:rFonts w:hint="eastAsia" w:ascii="仿宋" w:hAnsi="仿宋" w:eastAsia="仿宋"/>
          <w:sz w:val="32"/>
          <w:szCs w:val="32"/>
        </w:rPr>
      </w:pPr>
      <w:r>
        <w:rPr>
          <w:rFonts w:ascii="仿宋" w:hAnsi="仿宋" w:eastAsia="仿宋"/>
          <w:b/>
          <w:bCs/>
          <w:color w:val="000000" w:themeColor="text1"/>
          <w:sz w:val="32"/>
          <w:szCs w:val="32"/>
          <w14:textFill>
            <w14:solidFill>
              <w14:schemeClr w14:val="tx1"/>
            </w14:solidFill>
          </w14:textFill>
        </w:rPr>
        <w:t>四、联系方式</w:t>
      </w:r>
    </w:p>
    <w:p w14:paraId="32D9134F">
      <w:pPr>
        <w:spacing w:line="276" w:lineRule="auto"/>
        <w:ind w:firstLine="420"/>
        <w:rPr>
          <w:rStyle w:val="25"/>
          <w:rFonts w:hint="eastAsia" w:ascii="仿宋" w:hAnsi="仿宋" w:eastAsia="仿宋"/>
          <w:sz w:val="32"/>
          <w:szCs w:val="32"/>
        </w:rPr>
      </w:pPr>
      <w:r>
        <w:rPr>
          <w:rStyle w:val="25"/>
          <w:rFonts w:hint="eastAsia" w:ascii="仿宋" w:hAnsi="仿宋" w:eastAsia="仿宋"/>
          <w:sz w:val="32"/>
          <w:szCs w:val="32"/>
        </w:rPr>
        <w:t>1、地点：浙江省</w:t>
      </w:r>
      <w:r>
        <w:rPr>
          <w:rStyle w:val="25"/>
          <w:rFonts w:ascii="仿宋" w:hAnsi="仿宋" w:eastAsia="仿宋"/>
          <w:sz w:val="32"/>
          <w:szCs w:val="32"/>
        </w:rPr>
        <w:t>海宁市</w:t>
      </w:r>
      <w:r>
        <w:rPr>
          <w:rStyle w:val="25"/>
          <w:rFonts w:hint="eastAsia" w:ascii="仿宋" w:hAnsi="仿宋" w:eastAsia="仿宋"/>
          <w:sz w:val="32"/>
          <w:szCs w:val="32"/>
        </w:rPr>
        <w:t>海州</w:t>
      </w:r>
      <w:r>
        <w:rPr>
          <w:rStyle w:val="25"/>
          <w:rFonts w:ascii="仿宋" w:hAnsi="仿宋" w:eastAsia="仿宋"/>
          <w:sz w:val="32"/>
          <w:szCs w:val="32"/>
        </w:rPr>
        <w:t>东路</w:t>
      </w:r>
      <w:r>
        <w:rPr>
          <w:rStyle w:val="25"/>
          <w:rFonts w:hint="eastAsia" w:ascii="仿宋" w:hAnsi="仿宋" w:eastAsia="仿宋"/>
          <w:sz w:val="32"/>
          <w:szCs w:val="32"/>
        </w:rPr>
        <w:t>718号</w:t>
      </w:r>
      <w:r>
        <w:rPr>
          <w:rStyle w:val="25"/>
          <w:rFonts w:ascii="仿宋" w:hAnsi="仿宋" w:eastAsia="仿宋"/>
          <w:sz w:val="32"/>
          <w:szCs w:val="32"/>
        </w:rPr>
        <w:t>浙江大学国际校</w:t>
      </w:r>
      <w:r>
        <w:rPr>
          <w:rStyle w:val="25"/>
          <w:rFonts w:hint="eastAsia" w:ascii="仿宋" w:hAnsi="仿宋" w:eastAsia="仿宋"/>
          <w:sz w:val="32"/>
          <w:szCs w:val="32"/>
        </w:rPr>
        <w:t>区图书馆；</w:t>
      </w:r>
    </w:p>
    <w:p w14:paraId="32D91350">
      <w:pPr>
        <w:spacing w:line="276" w:lineRule="auto"/>
        <w:ind w:firstLine="420"/>
        <w:rPr>
          <w:rStyle w:val="25"/>
          <w:rFonts w:hint="eastAsia" w:ascii="仿宋" w:hAnsi="仿宋" w:eastAsia="仿宋"/>
          <w:sz w:val="32"/>
          <w:szCs w:val="32"/>
        </w:rPr>
      </w:pPr>
      <w:r>
        <w:rPr>
          <w:rStyle w:val="25"/>
          <w:rFonts w:ascii="仿宋" w:hAnsi="仿宋" w:eastAsia="仿宋"/>
          <w:sz w:val="32"/>
          <w:szCs w:val="32"/>
        </w:rPr>
        <w:t>2</w:t>
      </w:r>
      <w:r>
        <w:rPr>
          <w:rStyle w:val="25"/>
          <w:rFonts w:hint="eastAsia" w:ascii="仿宋" w:hAnsi="仿宋" w:eastAsia="仿宋"/>
          <w:sz w:val="32"/>
          <w:szCs w:val="32"/>
        </w:rPr>
        <w:t>、邮编：314400</w:t>
      </w:r>
    </w:p>
    <w:p w14:paraId="32D91351">
      <w:pPr>
        <w:spacing w:line="276" w:lineRule="auto"/>
        <w:ind w:firstLine="420"/>
        <w:rPr>
          <w:rStyle w:val="25"/>
          <w:rFonts w:hint="eastAsia" w:ascii="仿宋" w:hAnsi="仿宋" w:eastAsia="仿宋"/>
          <w:sz w:val="32"/>
          <w:szCs w:val="32"/>
        </w:rPr>
      </w:pPr>
      <w:r>
        <w:rPr>
          <w:rStyle w:val="25"/>
          <w:rFonts w:ascii="仿宋" w:hAnsi="仿宋" w:eastAsia="仿宋"/>
          <w:sz w:val="32"/>
          <w:szCs w:val="32"/>
        </w:rPr>
        <w:t>3、电话：0571-87572117</w:t>
      </w:r>
    </w:p>
    <w:p w14:paraId="32D91352">
      <w:pPr>
        <w:spacing w:line="276" w:lineRule="auto"/>
        <w:ind w:firstLine="420"/>
        <w:rPr>
          <w:rStyle w:val="25"/>
          <w:rFonts w:hint="eastAsia" w:ascii="仿宋" w:hAnsi="仿宋" w:eastAsia="仿宋"/>
          <w:sz w:val="32"/>
          <w:szCs w:val="32"/>
        </w:rPr>
      </w:pPr>
      <w:r>
        <w:rPr>
          <w:rStyle w:val="25"/>
          <w:rFonts w:ascii="仿宋" w:hAnsi="仿宋" w:eastAsia="仿宋"/>
          <w:sz w:val="32"/>
          <w:szCs w:val="32"/>
        </w:rPr>
        <w:t>4、联系人：吕老师</w:t>
      </w:r>
    </w:p>
    <w:p w14:paraId="32D91353">
      <w:pPr>
        <w:widowControl/>
        <w:spacing w:line="276" w:lineRule="auto"/>
        <w:jc w:val="left"/>
        <w:rPr>
          <w:rStyle w:val="25"/>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14:paraId="32D91354">
      <w:pPr>
        <w:spacing w:line="276" w:lineRule="auto"/>
        <w:jc w:val="center"/>
        <w:rPr>
          <w:rFonts w:hint="eastAsia"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pacing w:val="-6"/>
          <w:sz w:val="32"/>
          <w:szCs w:val="32"/>
          <w14:textFill>
            <w14:solidFill>
              <w14:schemeClr w14:val="tx1"/>
            </w14:solidFill>
          </w14:textFill>
        </w:rPr>
        <w:t xml:space="preserve">第三部分  </w:t>
      </w:r>
      <w:r>
        <w:rPr>
          <w:rFonts w:hint="eastAsia" w:ascii="仿宋" w:hAnsi="仿宋" w:eastAsia="仿宋"/>
          <w:b/>
          <w:bCs/>
          <w:color w:val="000000" w:themeColor="text1"/>
          <w:spacing w:val="-6"/>
          <w:sz w:val="32"/>
          <w:szCs w:val="32"/>
          <w14:textFill>
            <w14:solidFill>
              <w14:schemeClr w14:val="tx1"/>
            </w14:solidFill>
          </w14:textFill>
        </w:rPr>
        <w:t>报价</w:t>
      </w:r>
      <w:r>
        <w:rPr>
          <w:rFonts w:ascii="仿宋" w:hAnsi="仿宋" w:eastAsia="仿宋"/>
          <w:b/>
          <w:bCs/>
          <w:color w:val="000000" w:themeColor="text1"/>
          <w:spacing w:val="-6"/>
          <w:sz w:val="32"/>
          <w:szCs w:val="32"/>
          <w14:textFill>
            <w14:solidFill>
              <w14:schemeClr w14:val="tx1"/>
            </w14:solidFill>
          </w14:textFill>
        </w:rPr>
        <w:t>文件格式</w:t>
      </w:r>
    </w:p>
    <w:p w14:paraId="32D91355">
      <w:pPr>
        <w:spacing w:line="276" w:lineRule="auto"/>
        <w:rPr>
          <w:rFonts w:hint="eastAsia" w:ascii="仿宋" w:hAnsi="仿宋" w:eastAsia="仿宋"/>
          <w:b/>
          <w:color w:val="000000" w:themeColor="text1"/>
          <w:spacing w:val="-6"/>
          <w:sz w:val="32"/>
          <w:szCs w:val="32"/>
          <w14:textFill>
            <w14:solidFill>
              <w14:schemeClr w14:val="tx1"/>
            </w14:solidFill>
          </w14:textFill>
        </w:rPr>
      </w:pPr>
    </w:p>
    <w:p w14:paraId="32D91356">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封面</w:t>
      </w:r>
    </w:p>
    <w:p w14:paraId="32D91357">
      <w:pPr>
        <w:spacing w:line="276" w:lineRule="auto"/>
        <w:jc w:val="right"/>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b/>
          <w:bCs/>
          <w:color w:val="000000" w:themeColor="text1"/>
          <w:spacing w:val="-6"/>
          <w:sz w:val="32"/>
          <w:szCs w:val="32"/>
          <w14:textFill>
            <w14:solidFill>
              <w14:schemeClr w14:val="tx1"/>
            </w14:solidFill>
          </w14:textFill>
        </w:rPr>
        <w:t>正本或副本</w:t>
      </w:r>
    </w:p>
    <w:p w14:paraId="32D91358">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359">
      <w:pPr>
        <w:spacing w:line="276" w:lineRule="auto"/>
        <w:jc w:val="center"/>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u w:val="single"/>
          <w14:textFill>
            <w14:solidFill>
              <w14:schemeClr w14:val="tx1"/>
            </w14:solidFill>
          </w14:textFill>
        </w:rPr>
        <w:t xml:space="preserve">                    </w:t>
      </w:r>
      <w:r>
        <w:rPr>
          <w:rFonts w:hint="eastAsia" w:ascii="仿宋" w:hAnsi="仿宋" w:eastAsia="仿宋"/>
          <w:bCs/>
          <w:color w:val="000000" w:themeColor="text1"/>
          <w:spacing w:val="-6"/>
          <w:sz w:val="32"/>
          <w:szCs w:val="32"/>
          <w14:textFill>
            <w14:solidFill>
              <w14:schemeClr w14:val="tx1"/>
            </w14:solidFill>
          </w14:textFill>
        </w:rPr>
        <w:t>（报价单位名称）</w:t>
      </w:r>
    </w:p>
    <w:p w14:paraId="32D9135A">
      <w:pPr>
        <w:spacing w:line="276" w:lineRule="auto"/>
        <w:jc w:val="center"/>
        <w:rPr>
          <w:rFonts w:hint="eastAsia" w:ascii="仿宋" w:hAnsi="仿宋" w:eastAsia="仿宋"/>
          <w:b/>
          <w:bCs/>
          <w:color w:val="000000" w:themeColor="text1"/>
          <w:spacing w:val="-6"/>
          <w:sz w:val="32"/>
          <w:szCs w:val="32"/>
          <w14:textFill>
            <w14:solidFill>
              <w14:schemeClr w14:val="tx1"/>
            </w14:solidFill>
          </w14:textFill>
        </w:rPr>
      </w:pPr>
    </w:p>
    <w:p w14:paraId="32D9135B">
      <w:pPr>
        <w:spacing w:line="276" w:lineRule="auto"/>
        <w:jc w:val="center"/>
        <w:rPr>
          <w:rFonts w:hint="eastAsia" w:ascii="仿宋" w:hAnsi="仿宋" w:eastAsia="仿宋"/>
          <w:b/>
          <w:bCs/>
          <w:color w:val="000000" w:themeColor="text1"/>
          <w:spacing w:val="-6"/>
          <w:sz w:val="32"/>
          <w:szCs w:val="32"/>
          <w14:textFill>
            <w14:solidFill>
              <w14:schemeClr w14:val="tx1"/>
            </w14:solidFill>
          </w14:textFill>
        </w:rPr>
      </w:pPr>
      <w:r>
        <w:rPr>
          <w:rFonts w:hint="eastAsia" w:ascii="仿宋" w:hAnsi="仿宋" w:eastAsia="仿宋"/>
          <w:b/>
          <w:bCs/>
          <w:color w:val="000000" w:themeColor="text1"/>
          <w:spacing w:val="-6"/>
          <w:sz w:val="32"/>
          <w:szCs w:val="32"/>
          <w14:textFill>
            <w14:solidFill>
              <w14:schemeClr w14:val="tx1"/>
            </w14:solidFill>
          </w14:textFill>
        </w:rPr>
        <w:t>响 应 文 件</w:t>
      </w:r>
    </w:p>
    <w:p w14:paraId="32D9135C">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5D">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ascii="仿宋" w:hAnsi="仿宋" w:eastAsia="仿宋"/>
          <w:color w:val="000000" w:themeColor="text1"/>
          <w:spacing w:val="-6"/>
          <w:sz w:val="32"/>
          <w:szCs w:val="32"/>
          <w14:textFill>
            <w14:solidFill>
              <w14:schemeClr w14:val="tx1"/>
            </w14:solidFill>
          </w14:textFill>
        </w:rPr>
        <w:t>项目名称：浙江大学国际联合学院(海宁国际校区)</w:t>
      </w:r>
      <w:r>
        <w:rPr>
          <w:rFonts w:ascii="仿宋" w:hAnsi="仿宋" w:eastAsia="仿宋"/>
          <w:color w:val="000000" w:themeColor="text1"/>
          <w:sz w:val="32"/>
          <w:szCs w:val="32"/>
          <w14:textFill>
            <w14:solidFill>
              <w14:schemeClr w14:val="tx1"/>
            </w14:solidFill>
          </w14:textFill>
        </w:rPr>
        <w:t xml:space="preserve"> 图书馆瀑布流电子借阅系统</w:t>
      </w:r>
      <w:r>
        <w:rPr>
          <w:rFonts w:ascii="仿宋" w:hAnsi="仿宋" w:eastAsia="仿宋"/>
          <w:color w:val="000000" w:themeColor="text1"/>
          <w:spacing w:val="-6"/>
          <w:sz w:val="32"/>
          <w:szCs w:val="32"/>
          <w14:textFill>
            <w14:solidFill>
              <w14:schemeClr w14:val="tx1"/>
            </w14:solidFill>
          </w14:textFill>
        </w:rPr>
        <w:t>项目</w:t>
      </w:r>
    </w:p>
    <w:p w14:paraId="32D9135E">
      <w:pPr>
        <w:spacing w:line="276" w:lineRule="auto"/>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报价单位名称（盖章）：</w:t>
      </w:r>
    </w:p>
    <w:p w14:paraId="32D9135F">
      <w:pPr>
        <w:spacing w:line="276" w:lineRule="auto"/>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报价单位地址：</w:t>
      </w:r>
    </w:p>
    <w:p w14:paraId="32D91360">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61">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62">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63">
      <w:pPr>
        <w:spacing w:line="276" w:lineRule="auto"/>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授权代表签字：</w:t>
      </w:r>
    </w:p>
    <w:p w14:paraId="32D91364">
      <w:pPr>
        <w:spacing w:line="276" w:lineRule="auto"/>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日期：  年  月  日</w:t>
      </w:r>
    </w:p>
    <w:p w14:paraId="32D91365">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66">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67">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368">
      <w:pPr>
        <w:widowControl/>
        <w:jc w:val="left"/>
        <w:rPr>
          <w:rFonts w:hint="eastAsia" w:ascii="仿宋" w:hAnsi="仿宋" w:eastAsia="仿宋"/>
          <w:bCs/>
          <w:color w:val="000000" w:themeColor="text1"/>
          <w:spacing w:val="-6"/>
          <w:sz w:val="32"/>
          <w:szCs w:val="32"/>
          <w14:textFill>
            <w14:solidFill>
              <w14:schemeClr w14:val="tx1"/>
            </w14:solidFill>
          </w14:textFill>
        </w:rPr>
      </w:pPr>
      <w:r>
        <w:rPr>
          <w:rFonts w:ascii="仿宋" w:hAnsi="仿宋" w:eastAsia="仿宋"/>
          <w:bCs/>
          <w:color w:val="000000" w:themeColor="text1"/>
          <w:spacing w:val="-6"/>
          <w:sz w:val="32"/>
          <w:szCs w:val="32"/>
          <w14:textFill>
            <w14:solidFill>
              <w14:schemeClr w14:val="tx1"/>
            </w14:solidFill>
          </w14:textFill>
        </w:rPr>
        <w:br w:type="page"/>
      </w:r>
    </w:p>
    <w:p w14:paraId="32D91369">
      <w:pPr>
        <w:spacing w:line="276" w:lineRule="auto"/>
        <w:jc w:val="center"/>
        <w:rPr>
          <w:rFonts w:hint="eastAsia"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报价表</w:t>
      </w:r>
    </w:p>
    <w:p w14:paraId="32D9136A">
      <w:pPr>
        <w:spacing w:line="276" w:lineRule="auto"/>
        <w:jc w:val="right"/>
        <w:rPr>
          <w:rFonts w:hint="eastAsia" w:ascii="仿宋" w:hAnsi="仿宋" w:eastAsia="仿宋" w:cstheme="minorBidi"/>
          <w:b/>
          <w:color w:val="000000" w:themeColor="text1"/>
          <w:spacing w:val="-6"/>
          <w:sz w:val="32"/>
          <w:szCs w:val="32"/>
          <w14:textFill>
            <w14:solidFill>
              <w14:schemeClr w14:val="tx1"/>
            </w14:solidFill>
          </w14:textFill>
        </w:rPr>
      </w:pPr>
      <w:r>
        <w:rPr>
          <w:rFonts w:ascii="仿宋" w:hAnsi="仿宋" w:eastAsia="仿宋"/>
          <w:color w:val="000000" w:themeColor="text1"/>
          <w:spacing w:val="-6"/>
          <w:sz w:val="32"/>
          <w:szCs w:val="32"/>
          <w14:textFill>
            <w14:solidFill>
              <w14:schemeClr w14:val="tx1"/>
            </w14:solidFill>
          </w14:textFill>
        </w:rPr>
        <w:t>金额单位：</w:t>
      </w:r>
      <w:r>
        <w:rPr>
          <w:rFonts w:hint="eastAsia" w:ascii="仿宋" w:hAnsi="仿宋" w:eastAsia="仿宋"/>
          <w:color w:val="000000" w:themeColor="text1"/>
          <w:spacing w:val="-6"/>
          <w:sz w:val="32"/>
          <w:szCs w:val="32"/>
          <w14:textFill>
            <w14:solidFill>
              <w14:schemeClr w14:val="tx1"/>
            </w14:solidFill>
          </w14:textFill>
        </w:rPr>
        <w:t>人民币</w:t>
      </w:r>
      <w:r>
        <w:rPr>
          <w:rFonts w:ascii="仿宋" w:hAnsi="仿宋" w:eastAsia="仿宋"/>
          <w:color w:val="000000" w:themeColor="text1"/>
          <w:spacing w:val="-6"/>
          <w:sz w:val="32"/>
          <w:szCs w:val="32"/>
          <w14:textFill>
            <w14:solidFill>
              <w14:schemeClr w14:val="tx1"/>
            </w14:solidFill>
          </w14:textFill>
        </w:rPr>
        <w:t xml:space="preserve"> </w:t>
      </w:r>
      <w:r>
        <w:rPr>
          <w:rFonts w:hint="eastAsia" w:ascii="仿宋" w:hAnsi="仿宋" w:eastAsia="仿宋"/>
          <w:color w:val="000000" w:themeColor="text1"/>
          <w:spacing w:val="-6"/>
          <w:sz w:val="32"/>
          <w:szCs w:val="32"/>
          <w14:textFill>
            <w14:solidFill>
              <w14:schemeClr w14:val="tx1"/>
            </w14:solidFill>
          </w14:textFill>
        </w:rPr>
        <w:t>元</w:t>
      </w:r>
      <w:r>
        <w:rPr>
          <w:rFonts w:hint="eastAsia" w:ascii="仿宋" w:hAnsi="仿宋" w:eastAsia="仿宋"/>
          <w:b/>
          <w:color w:val="000000" w:themeColor="text1"/>
          <w:spacing w:val="-6"/>
          <w:sz w:val="32"/>
          <w:szCs w:val="32"/>
          <w14:textFill>
            <w14:solidFill>
              <w14:schemeClr w14:val="tx1"/>
            </w14:solidFill>
          </w14:textFill>
        </w:rPr>
        <w:t xml:space="preserve"> </w:t>
      </w:r>
    </w:p>
    <w:tbl>
      <w:tblPr>
        <w:tblStyle w:val="20"/>
        <w:tblW w:w="9526" w:type="dxa"/>
        <w:tblInd w:w="-6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2"/>
        <w:gridCol w:w="1627"/>
        <w:gridCol w:w="1350"/>
        <w:gridCol w:w="1134"/>
        <w:gridCol w:w="1276"/>
        <w:gridCol w:w="1559"/>
        <w:gridCol w:w="1418"/>
      </w:tblGrid>
      <w:tr w14:paraId="32D9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162" w:type="dxa"/>
            <w:tcBorders>
              <w:top w:val="single" w:color="auto" w:sz="4" w:space="0"/>
              <w:left w:val="single" w:color="auto" w:sz="4" w:space="0"/>
              <w:bottom w:val="single" w:color="auto" w:sz="4" w:space="0"/>
              <w:right w:val="single" w:color="auto" w:sz="4" w:space="0"/>
            </w:tcBorders>
            <w:vAlign w:val="center"/>
          </w:tcPr>
          <w:p w14:paraId="32D9136B">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序号</w:t>
            </w:r>
          </w:p>
        </w:tc>
        <w:tc>
          <w:tcPr>
            <w:tcW w:w="1627" w:type="dxa"/>
            <w:tcBorders>
              <w:top w:val="single" w:color="auto" w:sz="4" w:space="0"/>
              <w:left w:val="single" w:color="auto" w:sz="4" w:space="0"/>
              <w:bottom w:val="single" w:color="auto" w:sz="4" w:space="0"/>
              <w:right w:val="single" w:color="auto" w:sz="4" w:space="0"/>
            </w:tcBorders>
            <w:vAlign w:val="center"/>
          </w:tcPr>
          <w:p w14:paraId="32D9136C">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名称</w:t>
            </w:r>
          </w:p>
        </w:tc>
        <w:tc>
          <w:tcPr>
            <w:tcW w:w="1350" w:type="dxa"/>
            <w:tcBorders>
              <w:top w:val="single" w:color="auto" w:sz="4" w:space="0"/>
              <w:left w:val="single" w:color="auto" w:sz="4" w:space="0"/>
              <w:bottom w:val="single" w:color="auto" w:sz="4" w:space="0"/>
              <w:right w:val="single" w:color="auto" w:sz="4" w:space="0"/>
            </w:tcBorders>
            <w:vAlign w:val="center"/>
          </w:tcPr>
          <w:p w14:paraId="32D9136D">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32D9136E">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32D9136F">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单价</w:t>
            </w:r>
          </w:p>
        </w:tc>
        <w:tc>
          <w:tcPr>
            <w:tcW w:w="1559" w:type="dxa"/>
            <w:tcBorders>
              <w:top w:val="single" w:color="auto" w:sz="4" w:space="0"/>
              <w:left w:val="single" w:color="auto" w:sz="4" w:space="0"/>
              <w:bottom w:val="single" w:color="auto" w:sz="4" w:space="0"/>
              <w:right w:val="single" w:color="auto" w:sz="4" w:space="0"/>
            </w:tcBorders>
            <w:vAlign w:val="center"/>
          </w:tcPr>
          <w:p w14:paraId="32D91370">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金额</w:t>
            </w:r>
          </w:p>
        </w:tc>
        <w:tc>
          <w:tcPr>
            <w:tcW w:w="1418" w:type="dxa"/>
            <w:tcBorders>
              <w:top w:val="single" w:color="auto" w:sz="4" w:space="0"/>
              <w:left w:val="single" w:color="auto" w:sz="4" w:space="0"/>
              <w:bottom w:val="single" w:color="auto" w:sz="4" w:space="0"/>
              <w:right w:val="single" w:color="auto" w:sz="4" w:space="0"/>
            </w:tcBorders>
            <w:vAlign w:val="center"/>
          </w:tcPr>
          <w:p w14:paraId="32D91371">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备注</w:t>
            </w:r>
          </w:p>
        </w:tc>
      </w:tr>
      <w:tr w14:paraId="32D91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162" w:type="dxa"/>
            <w:tcBorders>
              <w:top w:val="single" w:color="auto" w:sz="4" w:space="0"/>
              <w:left w:val="single" w:color="auto" w:sz="4" w:space="0"/>
              <w:bottom w:val="single" w:color="auto" w:sz="4" w:space="0"/>
              <w:right w:val="single" w:color="auto" w:sz="4" w:space="0"/>
            </w:tcBorders>
            <w:vAlign w:val="center"/>
          </w:tcPr>
          <w:p w14:paraId="32D91373">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32D91374">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32D91375">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2D91376">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2D91377">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2D91378">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32D91379">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r>
      <w:tr w14:paraId="32D91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162" w:type="dxa"/>
            <w:tcBorders>
              <w:top w:val="single" w:color="auto" w:sz="4" w:space="0"/>
              <w:left w:val="single" w:color="auto" w:sz="4" w:space="0"/>
              <w:bottom w:val="single" w:color="auto" w:sz="4" w:space="0"/>
              <w:right w:val="single" w:color="auto" w:sz="4" w:space="0"/>
            </w:tcBorders>
            <w:vAlign w:val="center"/>
          </w:tcPr>
          <w:p w14:paraId="32D9137B">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32D9137C">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32D9137D">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2D9137E">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2D9137F">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2D91380">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32D91381">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r>
      <w:tr w14:paraId="32D91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162" w:type="dxa"/>
            <w:tcBorders>
              <w:top w:val="single" w:color="auto" w:sz="4" w:space="0"/>
              <w:left w:val="single" w:color="auto" w:sz="4" w:space="0"/>
              <w:bottom w:val="single" w:color="auto" w:sz="4" w:space="0"/>
              <w:right w:val="single" w:color="auto" w:sz="4" w:space="0"/>
            </w:tcBorders>
            <w:vAlign w:val="center"/>
          </w:tcPr>
          <w:p w14:paraId="32D91383">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32D91384">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32D91385">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2D91386">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2D91387">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2D91388">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32D91389">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r>
      <w:tr w14:paraId="32D91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162" w:type="dxa"/>
            <w:tcBorders>
              <w:top w:val="single" w:color="auto" w:sz="4" w:space="0"/>
              <w:left w:val="single" w:color="auto" w:sz="4" w:space="0"/>
              <w:bottom w:val="single" w:color="auto" w:sz="4" w:space="0"/>
              <w:right w:val="single" w:color="auto" w:sz="4" w:space="0"/>
            </w:tcBorders>
            <w:vAlign w:val="center"/>
          </w:tcPr>
          <w:p w14:paraId="32D9138B">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32D9138C">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32D9138D">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2D9138E">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2D9138F">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2D91390">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32D91391">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r>
      <w:tr w14:paraId="32D91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162" w:type="dxa"/>
            <w:tcBorders>
              <w:top w:val="single" w:color="auto" w:sz="4" w:space="0"/>
              <w:left w:val="single" w:color="auto" w:sz="4" w:space="0"/>
              <w:bottom w:val="single" w:color="auto" w:sz="4" w:space="0"/>
              <w:right w:val="single" w:color="auto" w:sz="4" w:space="0"/>
            </w:tcBorders>
            <w:vAlign w:val="center"/>
          </w:tcPr>
          <w:p w14:paraId="32D91393">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32D91394">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32D91395">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2D91396">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2D91397">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2D91398">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32D91399">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p>
        </w:tc>
      </w:tr>
      <w:tr w14:paraId="32D91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526" w:type="dxa"/>
            <w:gridSpan w:val="7"/>
            <w:tcBorders>
              <w:top w:val="single" w:color="auto" w:sz="4" w:space="0"/>
              <w:left w:val="single" w:color="auto" w:sz="4" w:space="0"/>
              <w:bottom w:val="single" w:color="auto" w:sz="4" w:space="0"/>
              <w:right w:val="single" w:color="auto" w:sz="4" w:space="0"/>
            </w:tcBorders>
            <w:vAlign w:val="center"/>
          </w:tcPr>
          <w:p w14:paraId="32D9139B">
            <w:pPr>
              <w:tabs>
                <w:tab w:val="left" w:pos="1418"/>
              </w:tabs>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b/>
                <w:bCs/>
                <w:color w:val="000000" w:themeColor="text1"/>
                <w:spacing w:val="-6"/>
                <w:sz w:val="32"/>
                <w:szCs w:val="32"/>
                <w14:textFill>
                  <w14:solidFill>
                    <w14:schemeClr w14:val="tx1"/>
                  </w14:solidFill>
                </w14:textFill>
              </w:rPr>
              <w:t>总价</w:t>
            </w:r>
            <w:r>
              <w:rPr>
                <w:rFonts w:hint="eastAsia" w:ascii="仿宋" w:hAnsi="仿宋" w:eastAsia="仿宋"/>
                <w:color w:val="000000" w:themeColor="text1"/>
                <w:spacing w:val="-6"/>
                <w:sz w:val="32"/>
                <w:szCs w:val="32"/>
                <w14:textFill>
                  <w14:solidFill>
                    <w14:schemeClr w14:val="tx1"/>
                  </w14:solidFill>
                </w14:textFill>
              </w:rPr>
              <w:t xml:space="preserve"> </w:t>
            </w:r>
            <w:r>
              <w:rPr>
                <w:rFonts w:ascii="仿宋" w:hAnsi="仿宋" w:eastAsia="仿宋"/>
                <w:color w:val="000000" w:themeColor="text1"/>
                <w:spacing w:val="-6"/>
                <w:sz w:val="32"/>
                <w:szCs w:val="32"/>
                <w14:textFill>
                  <w14:solidFill>
                    <w14:schemeClr w14:val="tx1"/>
                  </w14:solidFill>
                </w14:textFill>
              </w:rPr>
              <w:t xml:space="preserve"> </w:t>
            </w:r>
            <w:r>
              <w:rPr>
                <w:rFonts w:hint="eastAsia" w:ascii="仿宋" w:hAnsi="仿宋" w:eastAsia="仿宋"/>
                <w:color w:val="000000" w:themeColor="text1"/>
                <w:spacing w:val="-6"/>
                <w:sz w:val="32"/>
                <w:szCs w:val="32"/>
                <w14:textFill>
                  <w14:solidFill>
                    <w14:schemeClr w14:val="tx1"/>
                  </w14:solidFill>
                </w14:textFill>
              </w:rPr>
              <w:t>金额大写：_________________</w:t>
            </w:r>
          </w:p>
        </w:tc>
      </w:tr>
    </w:tbl>
    <w:p w14:paraId="32D9139D">
      <w:pPr>
        <w:tabs>
          <w:tab w:val="left" w:pos="1418"/>
        </w:tabs>
        <w:spacing w:line="276" w:lineRule="auto"/>
        <w:rPr>
          <w:rFonts w:hint="eastAsia" w:ascii="仿宋" w:hAnsi="仿宋" w:eastAsia="仿宋"/>
          <w:color w:val="000000" w:themeColor="text1"/>
          <w:spacing w:val="-6"/>
          <w:sz w:val="32"/>
          <w:szCs w:val="32"/>
          <w:u w:val="single"/>
          <w14:textFill>
            <w14:solidFill>
              <w14:schemeClr w14:val="tx1"/>
            </w14:solidFill>
          </w14:textFill>
        </w:rPr>
      </w:pPr>
    </w:p>
    <w:p w14:paraId="32D9139E">
      <w:pPr>
        <w:tabs>
          <w:tab w:val="left" w:pos="1418"/>
        </w:tabs>
        <w:spacing w:line="276" w:lineRule="auto"/>
        <w:rPr>
          <w:rFonts w:hint="eastAsia" w:ascii="仿宋" w:hAnsi="仿宋" w:eastAsia="仿宋"/>
          <w:color w:val="000000" w:themeColor="text1"/>
          <w:spacing w:val="-6"/>
          <w:sz w:val="32"/>
          <w:szCs w:val="32"/>
          <w:u w:val="single"/>
          <w14:textFill>
            <w14:solidFill>
              <w14:schemeClr w14:val="tx1"/>
            </w14:solidFill>
          </w14:textFill>
        </w:rPr>
      </w:pPr>
    </w:p>
    <w:p w14:paraId="32D9139F">
      <w:pPr>
        <w:tabs>
          <w:tab w:val="left" w:pos="1418"/>
        </w:tabs>
        <w:spacing w:line="276" w:lineRule="auto"/>
        <w:rPr>
          <w:rFonts w:hint="eastAsia" w:ascii="仿宋" w:hAnsi="仿宋" w:eastAsia="仿宋"/>
          <w:color w:val="000000" w:themeColor="text1"/>
          <w:spacing w:val="-6"/>
          <w:sz w:val="32"/>
          <w:szCs w:val="32"/>
          <w:u w:val="single"/>
          <w14:textFill>
            <w14:solidFill>
              <w14:schemeClr w14:val="tx1"/>
            </w14:solidFill>
          </w14:textFill>
        </w:rPr>
      </w:pPr>
    </w:p>
    <w:p w14:paraId="32D913A0">
      <w:pPr>
        <w:tabs>
          <w:tab w:val="left" w:pos="1418"/>
        </w:tabs>
        <w:spacing w:line="276" w:lineRule="auto"/>
        <w:rPr>
          <w:rFonts w:hint="eastAsia" w:ascii="仿宋" w:hAnsi="仿宋" w:eastAsia="仿宋"/>
          <w:color w:val="000000" w:themeColor="text1"/>
          <w:spacing w:val="-6"/>
          <w:sz w:val="32"/>
          <w:szCs w:val="32"/>
          <w:u w:val="single"/>
          <w14:textFill>
            <w14:solidFill>
              <w14:schemeClr w14:val="tx1"/>
            </w14:solidFill>
          </w14:textFill>
        </w:rPr>
      </w:pPr>
    </w:p>
    <w:p w14:paraId="32D913A1">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 xml:space="preserve">报价单位名称（盖章）： </w:t>
      </w:r>
    </w:p>
    <w:p w14:paraId="32D913A2">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授权代表签字：</w:t>
      </w:r>
    </w:p>
    <w:p w14:paraId="32D913A3">
      <w:pPr>
        <w:spacing w:line="276" w:lineRule="auto"/>
        <w:ind w:right="-817" w:rightChars="-389"/>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日期：  年  月  日</w:t>
      </w:r>
    </w:p>
    <w:p w14:paraId="32D913A4">
      <w:pPr>
        <w:spacing w:line="276" w:lineRule="auto"/>
        <w:jc w:val="left"/>
        <w:rPr>
          <w:rFonts w:hint="eastAsia" w:ascii="仿宋" w:hAnsi="仿宋" w:eastAsia="仿宋" w:cs="宋体"/>
          <w:color w:val="000000" w:themeColor="text1"/>
          <w:kern w:val="0"/>
          <w:sz w:val="32"/>
          <w:szCs w:val="32"/>
          <w14:textFill>
            <w14:solidFill>
              <w14:schemeClr w14:val="tx1"/>
            </w14:solidFill>
          </w14:textFill>
        </w:rPr>
      </w:pPr>
    </w:p>
    <w:p w14:paraId="32D913A5">
      <w:pPr>
        <w:spacing w:line="276" w:lineRule="auto"/>
        <w:jc w:val="left"/>
        <w:rPr>
          <w:rFonts w:hint="eastAsia" w:ascii="仿宋" w:hAnsi="仿宋" w:eastAsia="仿宋" w:cs="宋体"/>
          <w:color w:val="000000" w:themeColor="text1"/>
          <w:kern w:val="0"/>
          <w:sz w:val="32"/>
          <w:szCs w:val="32"/>
          <w14:textFill>
            <w14:solidFill>
              <w14:schemeClr w14:val="tx1"/>
            </w14:solidFill>
          </w14:textFill>
        </w:rPr>
      </w:pPr>
    </w:p>
    <w:p w14:paraId="32D913A6">
      <w:pPr>
        <w:widowControl/>
        <w:jc w:val="left"/>
        <w:rPr>
          <w:rFonts w:hint="eastAsia"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br w:type="page"/>
      </w:r>
    </w:p>
    <w:p w14:paraId="32D913A7">
      <w:pPr>
        <w:widowControl/>
        <w:spacing w:line="276" w:lineRule="auto"/>
        <w:jc w:val="center"/>
        <w:rPr>
          <w:rFonts w:hint="eastAsia" w:ascii="仿宋" w:hAnsi="仿宋" w:eastAsia="仿宋"/>
          <w:b/>
          <w:color w:val="000000" w:themeColor="text1"/>
          <w:spacing w:val="-6"/>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技术偏离表</w:t>
      </w:r>
    </w:p>
    <w:p w14:paraId="32D913A8">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ascii="仿宋" w:hAnsi="仿宋" w:eastAsia="仿宋" w:cs="微软雅黑"/>
          <w:color w:val="000000" w:themeColor="text1"/>
          <w:kern w:val="0"/>
          <w:sz w:val="32"/>
          <w:szCs w:val="32"/>
          <w14:textFill>
            <w14:solidFill>
              <w14:schemeClr w14:val="tx1"/>
            </w14:solidFill>
          </w14:textFill>
        </w:rPr>
        <w:t>项目名称：</w:t>
      </w:r>
      <w:r>
        <w:rPr>
          <w:rFonts w:ascii="仿宋" w:hAnsi="仿宋" w:eastAsia="仿宋"/>
          <w:color w:val="000000" w:themeColor="text1"/>
          <w:spacing w:val="-6"/>
          <w:sz w:val="32"/>
          <w:szCs w:val="32"/>
          <w14:textFill>
            <w14:solidFill>
              <w14:schemeClr w14:val="tx1"/>
            </w14:solidFill>
          </w14:textFill>
        </w:rPr>
        <w:t>浙江大学国际联合学院(海宁国际校区)</w:t>
      </w:r>
      <w:r>
        <w:rPr>
          <w:rFonts w:ascii="仿宋" w:hAnsi="仿宋" w:eastAsia="仿宋"/>
          <w:color w:val="000000" w:themeColor="text1"/>
          <w:sz w:val="32"/>
          <w:szCs w:val="32"/>
          <w14:textFill>
            <w14:solidFill>
              <w14:schemeClr w14:val="tx1"/>
            </w14:solidFill>
          </w14:textFill>
        </w:rPr>
        <w:t>图书馆瀑布流电子借阅系统</w:t>
      </w:r>
      <w:r>
        <w:rPr>
          <w:rFonts w:ascii="仿宋" w:hAnsi="仿宋" w:eastAsia="仿宋"/>
          <w:color w:val="000000" w:themeColor="text1"/>
          <w:spacing w:val="-6"/>
          <w:sz w:val="32"/>
          <w:szCs w:val="32"/>
          <w14:textFill>
            <w14:solidFill>
              <w14:schemeClr w14:val="tx1"/>
            </w14:solidFill>
          </w14:textFill>
        </w:rPr>
        <w:t>项目</w:t>
      </w:r>
    </w:p>
    <w:p w14:paraId="32D913A9">
      <w:pPr>
        <w:widowControl/>
        <w:spacing w:line="276" w:lineRule="auto"/>
        <w:textAlignment w:val="baseline"/>
        <w:rPr>
          <w:rFonts w:ascii="Calibri" w:hAnsi="Calibri" w:eastAsia="仿宋" w:cs="Calibri"/>
          <w:color w:val="000000" w:themeColor="text1"/>
          <w:kern w:val="0"/>
          <w:sz w:val="32"/>
          <w:szCs w:val="32"/>
          <w14:textFill>
            <w14:solidFill>
              <w14:schemeClr w14:val="tx1"/>
            </w14:solidFill>
          </w14:textFill>
        </w:rPr>
      </w:pPr>
      <w:r>
        <w:rPr>
          <w:rFonts w:hint="eastAsia" w:ascii="仿宋" w:hAnsi="仿宋" w:eastAsia="仿宋" w:cs="微软雅黑"/>
          <w:color w:val="000000" w:themeColor="text1"/>
          <w:kern w:val="0"/>
          <w:sz w:val="32"/>
          <w:szCs w:val="32"/>
          <w14:textFill>
            <w14:solidFill>
              <w14:schemeClr w14:val="tx1"/>
            </w14:solidFill>
          </w14:textFill>
        </w:rPr>
        <w:t>项目编号：</w:t>
      </w:r>
      <w:r>
        <w:rPr>
          <w:rFonts w:ascii="Calibri" w:hAnsi="Calibri" w:eastAsia="仿宋" w:cs="Calibri"/>
          <w:color w:val="000000" w:themeColor="text1"/>
          <w:kern w:val="0"/>
          <w:sz w:val="32"/>
          <w:szCs w:val="32"/>
          <w14:textFill>
            <w14:solidFill>
              <w14:schemeClr w14:val="tx1"/>
            </w14:solidFill>
          </w14:textFill>
        </w:rPr>
        <w:t> </w:t>
      </w:r>
    </w:p>
    <w:tbl>
      <w:tblPr>
        <w:tblStyle w:val="20"/>
        <w:tblW w:w="8472" w:type="dxa"/>
        <w:tblInd w:w="-116"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152"/>
        <w:gridCol w:w="3858"/>
        <w:gridCol w:w="1663"/>
        <w:gridCol w:w="1799"/>
      </w:tblGrid>
      <w:tr w14:paraId="32D913A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AA">
            <w:pPr>
              <w:spacing w:line="276" w:lineRule="auto"/>
              <w:jc w:val="center"/>
              <w:rPr>
                <w:rFonts w:hint="eastAsia" w:ascii="仿宋" w:hAnsi="仿宋" w:eastAsia="仿宋"/>
                <w:b/>
                <w:bCs/>
                <w:sz w:val="32"/>
                <w:szCs w:val="32"/>
              </w:rPr>
            </w:pPr>
            <w:r>
              <w:rPr>
                <w:rFonts w:ascii="仿宋" w:hAnsi="仿宋" w:eastAsia="仿宋" w:cs="宋体"/>
                <w:b/>
                <w:bCs/>
                <w:color w:val="000000" w:themeColor="text1"/>
                <w:sz w:val="32"/>
                <w:szCs w:val="32"/>
                <w14:textFill>
                  <w14:solidFill>
                    <w14:schemeClr w14:val="tx1"/>
                  </w14:solidFill>
                </w14:textFill>
              </w:rPr>
              <w:t>需求概述</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AB">
            <w:pPr>
              <w:spacing w:line="276" w:lineRule="auto"/>
              <w:jc w:val="center"/>
              <w:rPr>
                <w:rFonts w:hint="eastAsia" w:ascii="仿宋" w:hAnsi="仿宋" w:eastAsia="仿宋"/>
                <w:b/>
                <w:bCs/>
                <w:sz w:val="32"/>
                <w:szCs w:val="32"/>
              </w:rPr>
            </w:pPr>
            <w:r>
              <w:rPr>
                <w:rFonts w:ascii="仿宋" w:hAnsi="仿宋" w:eastAsia="仿宋"/>
                <w:b/>
                <w:bCs/>
                <w:sz w:val="32"/>
                <w:szCs w:val="32"/>
              </w:rPr>
              <w:t>需求详细描述</w:t>
            </w:r>
          </w:p>
        </w:tc>
        <w:tc>
          <w:tcPr>
            <w:tcW w:w="1716" w:type="dxa"/>
            <w:tcBorders>
              <w:top w:val="single" w:color="auto" w:sz="6" w:space="0"/>
              <w:left w:val="single" w:color="auto" w:sz="6" w:space="0"/>
              <w:bottom w:val="single" w:color="auto" w:sz="6" w:space="0"/>
              <w:right w:val="single" w:color="auto" w:sz="6" w:space="0"/>
            </w:tcBorders>
          </w:tcPr>
          <w:p w14:paraId="32D913AC">
            <w:pPr>
              <w:spacing w:line="276" w:lineRule="auto"/>
              <w:jc w:val="center"/>
              <w:rPr>
                <w:rFonts w:hint="eastAsia" w:ascii="仿宋" w:hAnsi="仿宋" w:eastAsia="仿宋"/>
                <w:b/>
                <w:bCs/>
                <w:sz w:val="32"/>
                <w:szCs w:val="32"/>
              </w:rPr>
            </w:pPr>
            <w:r>
              <w:rPr>
                <w:rFonts w:ascii="仿宋" w:hAnsi="仿宋" w:eastAsia="仿宋" w:cs="宋体"/>
                <w:b/>
                <w:bCs/>
                <w:color w:val="000000" w:themeColor="text1"/>
                <w:sz w:val="32"/>
                <w:szCs w:val="32"/>
                <w14:textFill>
                  <w14:solidFill>
                    <w14:schemeClr w14:val="tx1"/>
                  </w14:solidFill>
                </w14:textFill>
              </w:rPr>
              <w:t>响应规格</w:t>
            </w:r>
          </w:p>
        </w:tc>
        <w:tc>
          <w:tcPr>
            <w:tcW w:w="1843" w:type="dxa"/>
            <w:tcBorders>
              <w:top w:val="single" w:color="auto" w:sz="6" w:space="0"/>
              <w:left w:val="single" w:color="auto" w:sz="6" w:space="0"/>
              <w:bottom w:val="single" w:color="auto" w:sz="6" w:space="0"/>
              <w:right w:val="single" w:color="auto" w:sz="6" w:space="0"/>
            </w:tcBorders>
          </w:tcPr>
          <w:p w14:paraId="32D913AD">
            <w:pPr>
              <w:spacing w:line="276" w:lineRule="auto"/>
              <w:rPr>
                <w:rFonts w:hint="eastAsia" w:ascii="仿宋" w:hAnsi="仿宋" w:eastAsia="仿宋" w:cs="宋体"/>
                <w:b/>
                <w:bCs/>
                <w:color w:val="000000" w:themeColor="text1"/>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是否偏离</w:t>
            </w:r>
          </w:p>
          <w:p w14:paraId="32D913AE">
            <w:pPr>
              <w:spacing w:line="276" w:lineRule="auto"/>
              <w:jc w:val="center"/>
              <w:rPr>
                <w:rFonts w:hint="eastAsia" w:ascii="仿宋" w:hAnsi="仿宋" w:eastAsia="仿宋"/>
                <w:b/>
                <w:bCs/>
                <w:sz w:val="32"/>
                <w:szCs w:val="32"/>
              </w:rPr>
            </w:pPr>
            <w:r>
              <w:rPr>
                <w:rFonts w:ascii="仿宋" w:hAnsi="仿宋" w:eastAsia="仿宋" w:cs="宋体"/>
                <w:b/>
                <w:bCs/>
                <w:color w:val="000000" w:themeColor="text1"/>
                <w:sz w:val="32"/>
                <w:szCs w:val="32"/>
                <w14:textFill>
                  <w14:solidFill>
                    <w14:schemeClr w14:val="tx1"/>
                  </w14:solidFill>
                </w14:textFill>
              </w:rPr>
              <w:t>（详细说明）</w:t>
            </w:r>
          </w:p>
        </w:tc>
      </w:tr>
      <w:tr w14:paraId="32D913B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restart"/>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B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瀑布流电子借阅系统（1套）</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B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系统</w:t>
            </w:r>
          </w:p>
          <w:p w14:paraId="32D913B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（1）软件运行环境为不低于Windows10 64位操作系统。</w:t>
            </w:r>
          </w:p>
          <w:p w14:paraId="32D913B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系统必须具备配套的手机客户端，系统内的资源可通过配套的手机客户端进行扫码，下载资源至手机。下载后的资源，无需网络，随时随地进行阅读；配套的手机端应具备夜间模式转换，文字大小调整等功能；手机客户端可保留相关阅读记录；手机客户端需同时支持ios、android系统；系统支持中英文界面语言。</w:t>
            </w:r>
          </w:p>
          <w:p w14:paraId="32D913B4">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（3）支持微信等第三方扫描工具进行扫码，扫码后获取在线阅读服务，无需下载客户端，并能将图书分享至朋友圈等社交网络。</w:t>
            </w:r>
          </w:p>
          <w:p w14:paraId="32D913B5">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（4）支持远程升级，支持一键更新，减少管理成本。</w:t>
            </w:r>
          </w:p>
          <w:p w14:paraId="32D913B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（5）提供统一管理平台，支持PC端+移动端多终端管理，包括：设备信息查看，重启、关机、刷新等操作，主题切换等服务。</w:t>
            </w:r>
          </w:p>
          <w:p w14:paraId="32D913B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（6）具备完善的后台管理系统，实现用户自主化管理。</w:t>
            </w:r>
          </w:p>
          <w:p w14:paraId="32D913B8">
            <w:pPr>
              <w:spacing w:before="120" w:after="120" w:line="288"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（7）具备良好的开放性，可以支持二次开发。</w:t>
            </w:r>
          </w:p>
          <w:p w14:paraId="32D913B9">
            <w:pPr>
              <w:spacing w:before="120" w:after="120" w:line="288"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（8）提供瀑布流产品新功能免费更新升级服务及完善的售后说明。</w:t>
            </w:r>
          </w:p>
        </w:tc>
        <w:tc>
          <w:tcPr>
            <w:tcW w:w="1716" w:type="dxa"/>
            <w:tcBorders>
              <w:top w:val="single" w:color="auto" w:sz="6" w:space="0"/>
              <w:left w:val="single" w:color="auto" w:sz="6" w:space="0"/>
              <w:bottom w:val="single" w:color="auto" w:sz="6" w:space="0"/>
              <w:right w:val="single" w:color="auto" w:sz="6" w:space="0"/>
            </w:tcBorders>
          </w:tcPr>
          <w:p w14:paraId="32D913BA">
            <w:pPr>
              <w:spacing w:line="276" w:lineRule="auto"/>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BB">
            <w:pPr>
              <w:spacing w:line="276" w:lineRule="auto"/>
              <w:rPr>
                <w:rFonts w:hint="eastAsia" w:ascii="仿宋" w:hAnsi="仿宋" w:eastAsia="仿宋"/>
                <w:sz w:val="24"/>
              </w:rPr>
            </w:pPr>
          </w:p>
        </w:tc>
      </w:tr>
      <w:tr w14:paraId="32D913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right w:val="single" w:color="auto" w:sz="6" w:space="0"/>
            </w:tcBorders>
            <w:tcMar>
              <w:left w:w="105" w:type="dxa"/>
              <w:right w:w="105" w:type="dxa"/>
            </w:tcMar>
            <w:vAlign w:val="center"/>
          </w:tcPr>
          <w:p w14:paraId="32D913BD">
            <w:pPr>
              <w:spacing w:line="276" w:lineRule="auto"/>
              <w:rPr>
                <w:rFonts w:hint="eastAsia" w:ascii="仿宋" w:hAnsi="仿宋" w:eastAsia="仿宋"/>
                <w:b/>
                <w:bCs/>
                <w:sz w:val="24"/>
              </w:rPr>
            </w:pPr>
            <w:r>
              <w:rPr>
                <w:rFonts w:ascii="仿宋" w:hAnsi="仿宋" w:eastAsia="仿宋"/>
                <w:b/>
                <w:bCs/>
                <w:sz w:val="24"/>
              </w:rPr>
              <w:t>个人信息</w:t>
            </w:r>
          </w:p>
          <w:p w14:paraId="32D913BE">
            <w:pPr>
              <w:spacing w:line="276" w:lineRule="auto"/>
              <w:ind w:firstLine="420"/>
              <w:rPr>
                <w:rFonts w:hint="eastAsia" w:ascii="仿宋" w:hAnsi="仿宋" w:eastAsia="仿宋"/>
                <w:sz w:val="24"/>
              </w:rPr>
            </w:pP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B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资源配置</w:t>
            </w:r>
          </w:p>
          <w:p w14:paraId="32D913C0">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（1）★系统应至少支持图书、期刊、视频、专题、图片等多种类型的资源配置到机器上进行展示。图书支持PDF、EPUB格式类型，图片支持JPG、GIF、PNG等格式。视频支持mp4格式。</w:t>
            </w:r>
          </w:p>
          <w:p w14:paraId="32D913C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（2）系统支持资源单独、组合展示，可按资源类型分类进行切换展示。</w:t>
            </w:r>
          </w:p>
          <w:p w14:paraId="32D913C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图书资源：内置不少于3000册正版授权的epub格式电子图书，且与原版图书保持原貌一致，如相关图片、目录等。每月定时更新不少于150种热门电子图书。用户可以直接在线阅读，也可通过第三方扫描工具获取在线阅读服务或通过配套的手机客户端扫描图书二维码，下载至智能终端进行离线阅读。同时提供2万余册可选电子书库供用户灵活配置、使用。</w:t>
            </w:r>
          </w:p>
          <w:p w14:paraId="32D913C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（4）视频资源：系统提供不少于400集名师讲坛视频，视频支持单集、系列选集播放，同时支持在线观看或扫码带走观看。</w:t>
            </w:r>
          </w:p>
          <w:p w14:paraId="32D913C4">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专题资源：提供不少于500种专题资源，同时支持客户自建专题，为用户提供专题创建工具，可以将文本内容、图片、视频、音频等资源进行混合编排，形成富媒体专题资源，专题至少支持创建三级目录。支持将创建好的富媒体专题资源，配置到设备呈现。</w:t>
            </w:r>
          </w:p>
          <w:p w14:paraId="32D913C5">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（6）期刊资源：内置不少于300种优质期刊，可选期刊资源库5000余种，期刊支持在线阅读及扫码带走，同时支持往期查看等。</w:t>
            </w:r>
          </w:p>
          <w:p w14:paraId="32D913C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（7）图片资源：支持图片资源展示，支持单张或者多张展示、支持查看简介内容、支持放大缩小查看图片等操作。</w:t>
            </w:r>
          </w:p>
          <w:p w14:paraId="32D913C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（8）资源版权清晰，所有资源具备合法授权，</w:t>
            </w:r>
            <w:r>
              <w:rPr>
                <w:rFonts w:hint="eastAsia" w:ascii="仿宋" w:hAnsi="仿宋" w:eastAsia="仿宋" w:cs="仿宋"/>
                <w:color w:val="000000" w:themeColor="text1"/>
                <w:sz w:val="24"/>
                <w14:textFill>
                  <w14:solidFill>
                    <w14:schemeClr w14:val="tx1"/>
                  </w14:solidFill>
                </w14:textFill>
              </w:rPr>
              <w:t>供方承诺承担瀑布流内置资源的所有版权责任</w:t>
            </w:r>
            <w:r>
              <w:rPr>
                <w:rFonts w:ascii="仿宋" w:hAnsi="仿宋" w:eastAsia="仿宋" w:cs="仿宋"/>
                <w:color w:val="000000" w:themeColor="text1"/>
                <w:sz w:val="24"/>
                <w14:textFill>
                  <w14:solidFill>
                    <w14:schemeClr w14:val="tx1"/>
                  </w14:solidFill>
                </w14:textFill>
              </w:rPr>
              <w:t>。</w:t>
            </w:r>
          </w:p>
          <w:p w14:paraId="32D913C8">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支持纸质资源数字化并建立特色馆藏，可按需方要求提供定制服务，支持本地存储，同时可将资源展示到瀑布流阅读屏中，并支持在线阅读和扫码下载；支持图书馆已购数据库在线资源展示到瀑布流阅读屏中，并支持在线阅读和扫码下载。</w:t>
            </w:r>
          </w:p>
          <w:p w14:paraId="32D913C9">
            <w:pPr>
              <w:spacing w:before="220" w:after="160" w:line="278"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瀑布流系统提供不少于6种特色主题皮肤包，可供用户选择，根据不同的节日热点，可切换展示贴合时下的主题瀑布流，如423读书日、中秋、端午、国庆、新春、党建等主题风格展示。支持特色主题皮肤包定制服务，满足个性化需求，定制周期在2周内。</w:t>
            </w:r>
          </w:p>
        </w:tc>
        <w:tc>
          <w:tcPr>
            <w:tcW w:w="1716" w:type="dxa"/>
            <w:tcBorders>
              <w:top w:val="single" w:color="auto" w:sz="6" w:space="0"/>
              <w:left w:val="single" w:color="auto" w:sz="6" w:space="0"/>
              <w:bottom w:val="single" w:color="auto" w:sz="6" w:space="0"/>
              <w:right w:val="single" w:color="auto" w:sz="6" w:space="0"/>
            </w:tcBorders>
          </w:tcPr>
          <w:p w14:paraId="32D913CA">
            <w:pPr>
              <w:spacing w:line="276" w:lineRule="auto"/>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CB">
            <w:pPr>
              <w:spacing w:line="276" w:lineRule="auto"/>
              <w:rPr>
                <w:rFonts w:hint="eastAsia" w:ascii="仿宋" w:hAnsi="仿宋" w:eastAsia="仿宋"/>
                <w:sz w:val="24"/>
              </w:rPr>
            </w:pPr>
          </w:p>
        </w:tc>
      </w:tr>
      <w:tr w14:paraId="32D913D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right w:val="single" w:color="auto" w:sz="6" w:space="0"/>
            </w:tcBorders>
            <w:tcMar>
              <w:left w:w="105" w:type="dxa"/>
              <w:right w:w="105" w:type="dxa"/>
            </w:tcMar>
            <w:vAlign w:val="center"/>
          </w:tcPr>
          <w:p w14:paraId="32D913CD">
            <w:pPr>
              <w:spacing w:line="276" w:lineRule="auto"/>
              <w:rPr>
                <w:rFonts w:hint="eastAsia" w:ascii="仿宋" w:hAnsi="仿宋" w:eastAsia="仿宋"/>
                <w:b/>
                <w:bCs/>
                <w:sz w:val="24"/>
              </w:rPr>
            </w:pPr>
            <w:r>
              <w:rPr>
                <w:rFonts w:ascii="仿宋" w:hAnsi="仿宋" w:eastAsia="仿宋"/>
                <w:b/>
                <w:bCs/>
                <w:sz w:val="24"/>
              </w:rPr>
              <w:t>馆藏查询</w:t>
            </w:r>
          </w:p>
          <w:p w14:paraId="32D913CE">
            <w:pPr>
              <w:spacing w:line="276" w:lineRule="auto"/>
              <w:ind w:firstLine="420"/>
              <w:rPr>
                <w:rFonts w:hint="eastAsia" w:ascii="仿宋" w:hAnsi="仿宋" w:eastAsia="仿宋"/>
                <w:sz w:val="24"/>
              </w:rPr>
            </w:pP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C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系统管理后台</w:t>
            </w:r>
          </w:p>
          <w:p w14:paraId="32D913D0">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（1）支持管理瀑布流设备，支持对设备信息进行查看、在线/离线状态监控等，亦支持屏保修改、主题换肤、背景图修改等操作。</w:t>
            </w:r>
          </w:p>
          <w:p w14:paraId="32D913D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（2）支持图书、期刊、视频、专题、图片等多种资源的管理配置，用户勾选对应的资源分类后，可一键推送至设备进行展示；支持将单位自有版权的图书资源配置到设备进行展示。</w:t>
            </w:r>
          </w:p>
          <w:p w14:paraId="32D913D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（3）支持视频管理，用户可通过后台创建视频分类及视频信息，可对上传的视频信息进行增删改查等操作。</w:t>
            </w:r>
          </w:p>
          <w:p w14:paraId="32D913D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（4）支持图片管理，用户可通过后台创建图片分类及图片信息，可对上传的图片信息进行增删改查等管理操作，支持本地导入和在线上传图片两种方式。</w:t>
            </w:r>
          </w:p>
          <w:p w14:paraId="32D913D4">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（5）支持专题管理，用户可通过后台创建专题分类及专题信息，可对上传的专题信息进行增删改查等管理操作。</w:t>
            </w:r>
          </w:p>
          <w:p w14:paraId="32D913D5">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（6）★提供即时插播功能，可设置插播文字、图片、视频、超链接等多种类型的内容，插播的内容可以一键发布到指定的一台或多台设备，同时也可以一键关闭插播。</w:t>
            </w:r>
          </w:p>
          <w:p w14:paraId="32D913D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（7）★提供手机端管理模块，可对常用功能进行快速配置管理，如设备信息查看、在线/离线状态监控、主题切换、屏保配置、任务插播发布等常用操作。</w:t>
            </w:r>
          </w:p>
          <w:p w14:paraId="32D913D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（8）支持远程对硬件设备进行开关机、重启等操作，包括远程设置定时开关机时间，便于用户管理。</w:t>
            </w:r>
          </w:p>
          <w:p w14:paraId="32D913D8">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（9）支持数据统计功能，可以查看本单位下设备及资源使用情况，如下载量、点击量、阅读量等数据。支持按照单台设备、按月等条件快速检索查看相关统计数据。</w:t>
            </w:r>
          </w:p>
          <w:p w14:paraId="32D913D9">
            <w:pPr>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w:t>
            </w:r>
          </w:p>
        </w:tc>
        <w:tc>
          <w:tcPr>
            <w:tcW w:w="1716" w:type="dxa"/>
            <w:tcBorders>
              <w:top w:val="single" w:color="auto" w:sz="6" w:space="0"/>
              <w:left w:val="single" w:color="auto" w:sz="6" w:space="0"/>
              <w:bottom w:val="single" w:color="auto" w:sz="6" w:space="0"/>
              <w:right w:val="single" w:color="auto" w:sz="6" w:space="0"/>
            </w:tcBorders>
          </w:tcPr>
          <w:p w14:paraId="32D913DA">
            <w:pPr>
              <w:spacing w:line="276" w:lineRule="auto"/>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DB">
            <w:pPr>
              <w:spacing w:line="276" w:lineRule="auto"/>
              <w:rPr>
                <w:rFonts w:hint="eastAsia" w:ascii="仿宋" w:hAnsi="仿宋" w:eastAsia="仿宋"/>
                <w:sz w:val="24"/>
              </w:rPr>
            </w:pPr>
          </w:p>
        </w:tc>
      </w:tr>
      <w:tr w14:paraId="32D913E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bottom w:val="single" w:color="auto" w:sz="6" w:space="0"/>
              <w:right w:val="single" w:color="auto" w:sz="6" w:space="0"/>
            </w:tcBorders>
            <w:tcMar>
              <w:left w:w="105" w:type="dxa"/>
              <w:right w:w="105" w:type="dxa"/>
            </w:tcMar>
            <w:vAlign w:val="center"/>
          </w:tcPr>
          <w:p w14:paraId="32D913DD">
            <w:pPr>
              <w:spacing w:line="276" w:lineRule="auto"/>
              <w:rPr>
                <w:rFonts w:hint="eastAsia" w:ascii="仿宋" w:hAnsi="仿宋" w:eastAsia="仿宋"/>
                <w:b/>
                <w:bCs/>
                <w:sz w:val="24"/>
              </w:rPr>
            </w:pPr>
            <w:r>
              <w:rPr>
                <w:rFonts w:ascii="仿宋" w:hAnsi="仿宋" w:eastAsia="仿宋"/>
                <w:b/>
                <w:bCs/>
                <w:sz w:val="24"/>
              </w:rPr>
              <w:t>智能搜书</w:t>
            </w:r>
          </w:p>
          <w:p w14:paraId="32D913DE">
            <w:pPr>
              <w:spacing w:line="276" w:lineRule="auto"/>
              <w:ind w:firstLine="420"/>
              <w:rPr>
                <w:rFonts w:hint="eastAsia" w:ascii="仿宋" w:hAnsi="仿宋" w:eastAsia="仿宋"/>
                <w:sz w:val="24"/>
              </w:rPr>
            </w:pP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D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其他功能</w:t>
            </w:r>
          </w:p>
          <w:p w14:paraId="32D913E0">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（1）★支持固定流速模式，此模式下用户无法改变资源流动速度。也支持手动滑动模式，此模式下用户可通过手指上下滑动，改变资源的流动速度，快速浏览。用户可根据需要，在以上两种模式间切换使用。</w:t>
            </w:r>
          </w:p>
          <w:p w14:paraId="32D913E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（2）★除常规的资源内容展示外，系统还支持配置应用至瀑布流设备，已配置的应用以图标的形式悬浮于瀑布流右侧区域，不影响设备的资源展示，用户通过点击应用图标，打开该应用进行浏览展示。</w:t>
            </w:r>
          </w:p>
          <w:p w14:paraId="32D913E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（3）系统应支持同时配置多个应用至设备。</w:t>
            </w:r>
          </w:p>
          <w:p w14:paraId="32D913E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（4）★支持资源导航功能，用户可在后台灵活配置此功能。选择开启该功能后，在设备界面可以按照资源名称首字母对资源信息进行快速查找。</w:t>
            </w:r>
          </w:p>
          <w:p w14:paraId="32D913E4">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（5）★支持自动轮播功能，对于配置多种资源的瀑布流，支持自定义设置各资源瀑布流间的自动切换，同时支持资源瀑布流与应用之间的切换展示，可自定义设置切换间隔时间。  </w:t>
            </w:r>
          </w:p>
          <w:p w14:paraId="32D913E5">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（6）系统支持添加待机屏保，支持单张、多张轮播展示。</w:t>
            </w:r>
          </w:p>
          <w:p w14:paraId="32D913E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（7）支持资源背景图进行自定义更换展示。</w:t>
            </w:r>
          </w:p>
          <w:p w14:paraId="32D913E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（8）图书、期刊、视频、专题资源支持断网离线扫码带走，无网络时亦可正常展示流动。</w:t>
            </w:r>
          </w:p>
          <w:p w14:paraId="32D913E8">
            <w:pPr>
              <w:spacing w:before="32" w:after="200" w:line="300" w:lineRule="auto"/>
              <w:ind w:right="109"/>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（9）支持与图书馆其他应用系统进行对接。按需方需求，提供后续所有相关接口，负责完成系统对接工作，同时提供技术支持服务，所需费用包含在本次采购中。</w:t>
            </w:r>
          </w:p>
          <w:p w14:paraId="32D913E9">
            <w:pPr>
              <w:spacing w:before="32" w:after="200" w:line="300" w:lineRule="auto"/>
              <w:ind w:right="109"/>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（10）自动获取所对接系统数据，实现数据实时自动更新。</w:t>
            </w:r>
          </w:p>
          <w:p w14:paraId="32D913EA">
            <w:pPr>
              <w:spacing w:before="32" w:after="200" w:line="300" w:lineRule="auto"/>
              <w:ind w:right="109"/>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（11）支持信息发布功能，包括发布文字、图片、视频、超链接等内容。</w:t>
            </w:r>
          </w:p>
        </w:tc>
        <w:tc>
          <w:tcPr>
            <w:tcW w:w="1716" w:type="dxa"/>
            <w:tcBorders>
              <w:top w:val="single" w:color="auto" w:sz="6" w:space="0"/>
              <w:left w:val="single" w:color="auto" w:sz="6" w:space="0"/>
              <w:bottom w:val="single" w:color="auto" w:sz="6" w:space="0"/>
              <w:right w:val="single" w:color="auto" w:sz="6" w:space="0"/>
            </w:tcBorders>
          </w:tcPr>
          <w:p w14:paraId="32D913EB">
            <w:pPr>
              <w:spacing w:line="276" w:lineRule="auto"/>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EC">
            <w:pPr>
              <w:spacing w:line="276" w:lineRule="auto"/>
              <w:rPr>
                <w:rFonts w:hint="eastAsia" w:ascii="仿宋" w:hAnsi="仿宋" w:eastAsia="仿宋"/>
                <w:sz w:val="24"/>
              </w:rPr>
            </w:pPr>
          </w:p>
        </w:tc>
      </w:tr>
      <w:tr w14:paraId="32D913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restart"/>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EE">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瀑布流阅读屏（2套）</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EF">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液晶拼接屏：4台</w:t>
            </w:r>
            <w:r>
              <w:rPr>
                <w:rFonts w:hint="eastAsia" w:ascii="仿宋" w:hAnsi="仿宋" w:eastAsia="仿宋" w:cs="仿宋"/>
                <w:color w:val="000000" w:themeColor="text1"/>
                <w:sz w:val="24"/>
                <w14:textFill>
                  <w14:solidFill>
                    <w14:schemeClr w14:val="tx1"/>
                  </w14:solidFill>
                </w14:textFill>
              </w:rPr>
              <w:t>（每套瀑布流阅读屏由2台液晶拼接屏拼接而成）</w:t>
            </w:r>
          </w:p>
          <w:p w14:paraId="32D913F0">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屏幕尺寸：不小于55英寸</w:t>
            </w:r>
          </w:p>
          <w:p w14:paraId="32D913F1">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分辨率：1920*1080;物理拼缝≤3.5mm（标准）；拼接屏通过3C认证，可提供检测报告</w:t>
            </w:r>
          </w:p>
        </w:tc>
        <w:tc>
          <w:tcPr>
            <w:tcW w:w="1716" w:type="dxa"/>
            <w:tcBorders>
              <w:top w:val="single" w:color="auto" w:sz="6" w:space="0"/>
              <w:left w:val="single" w:color="auto" w:sz="6" w:space="0"/>
              <w:bottom w:val="single" w:color="auto" w:sz="6" w:space="0"/>
              <w:right w:val="single" w:color="auto" w:sz="6" w:space="0"/>
            </w:tcBorders>
          </w:tcPr>
          <w:p w14:paraId="32D913F2">
            <w:pPr>
              <w:spacing w:line="276" w:lineRule="auto"/>
              <w:ind w:firstLine="420"/>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F3">
            <w:pPr>
              <w:spacing w:line="276" w:lineRule="auto"/>
              <w:ind w:firstLine="420"/>
              <w:rPr>
                <w:rFonts w:hint="eastAsia" w:ascii="仿宋" w:hAnsi="仿宋" w:eastAsia="仿宋"/>
                <w:sz w:val="24"/>
              </w:rPr>
            </w:pPr>
          </w:p>
        </w:tc>
      </w:tr>
      <w:tr w14:paraId="32D913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right w:val="single" w:color="auto" w:sz="6" w:space="0"/>
            </w:tcBorders>
            <w:tcMar>
              <w:left w:w="105" w:type="dxa"/>
              <w:right w:w="105" w:type="dxa"/>
            </w:tcMar>
            <w:vAlign w:val="center"/>
          </w:tcPr>
          <w:p w14:paraId="32D913F5">
            <w:pPr>
              <w:spacing w:line="276" w:lineRule="auto"/>
              <w:rPr>
                <w:rFonts w:hint="eastAsia" w:ascii="仿宋" w:hAnsi="仿宋" w:eastAsia="仿宋"/>
                <w:b/>
                <w:bCs/>
                <w:sz w:val="24"/>
              </w:rPr>
            </w:pPr>
            <w:r>
              <w:rPr>
                <w:rFonts w:ascii="仿宋" w:hAnsi="仿宋" w:eastAsia="仿宋"/>
                <w:b/>
                <w:bCs/>
                <w:sz w:val="24"/>
              </w:rPr>
              <w:t>图书推荐</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F6">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触摸框：2套</w:t>
            </w:r>
          </w:p>
          <w:p w14:paraId="32D913F7">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十点触摸</w:t>
            </w:r>
          </w:p>
        </w:tc>
        <w:tc>
          <w:tcPr>
            <w:tcW w:w="1716" w:type="dxa"/>
            <w:tcBorders>
              <w:top w:val="single" w:color="auto" w:sz="6" w:space="0"/>
              <w:left w:val="single" w:color="auto" w:sz="6" w:space="0"/>
              <w:bottom w:val="single" w:color="auto" w:sz="6" w:space="0"/>
              <w:right w:val="single" w:color="auto" w:sz="6" w:space="0"/>
            </w:tcBorders>
          </w:tcPr>
          <w:p w14:paraId="32D913F8">
            <w:pPr>
              <w:spacing w:line="276" w:lineRule="auto"/>
              <w:ind w:firstLine="420"/>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F9">
            <w:pPr>
              <w:spacing w:line="276" w:lineRule="auto"/>
              <w:ind w:firstLine="420"/>
              <w:rPr>
                <w:rFonts w:hint="eastAsia" w:ascii="仿宋" w:hAnsi="仿宋" w:eastAsia="仿宋"/>
                <w:sz w:val="24"/>
              </w:rPr>
            </w:pPr>
          </w:p>
        </w:tc>
      </w:tr>
      <w:tr w14:paraId="32D914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right w:val="single" w:color="auto" w:sz="6" w:space="0"/>
            </w:tcBorders>
            <w:tcMar>
              <w:left w:w="105" w:type="dxa"/>
              <w:right w:w="105" w:type="dxa"/>
            </w:tcMar>
            <w:vAlign w:val="center"/>
          </w:tcPr>
          <w:p w14:paraId="32D913FB">
            <w:pPr>
              <w:spacing w:line="276" w:lineRule="auto"/>
              <w:rPr>
                <w:rFonts w:hint="eastAsia" w:ascii="仿宋" w:hAnsi="仿宋" w:eastAsia="仿宋"/>
                <w:b/>
                <w:bCs/>
                <w:sz w:val="24"/>
              </w:rPr>
            </w:pPr>
            <w:r>
              <w:rPr>
                <w:rFonts w:ascii="仿宋" w:hAnsi="仿宋" w:eastAsia="仿宋"/>
                <w:b/>
                <w:bCs/>
                <w:sz w:val="24"/>
              </w:rPr>
              <w:t>留言板</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3FC">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壁挂支架：2套</w:t>
            </w:r>
          </w:p>
          <w:p w14:paraId="32D913FD">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铝型材支架，材质坚固、不易变形</w:t>
            </w:r>
          </w:p>
        </w:tc>
        <w:tc>
          <w:tcPr>
            <w:tcW w:w="1716" w:type="dxa"/>
            <w:tcBorders>
              <w:top w:val="single" w:color="auto" w:sz="6" w:space="0"/>
              <w:left w:val="single" w:color="auto" w:sz="6" w:space="0"/>
              <w:bottom w:val="single" w:color="auto" w:sz="6" w:space="0"/>
              <w:right w:val="single" w:color="auto" w:sz="6" w:space="0"/>
            </w:tcBorders>
          </w:tcPr>
          <w:p w14:paraId="32D913FE">
            <w:pPr>
              <w:spacing w:line="276" w:lineRule="auto"/>
              <w:ind w:firstLine="420"/>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3FF">
            <w:pPr>
              <w:spacing w:line="276" w:lineRule="auto"/>
              <w:ind w:firstLine="420"/>
              <w:rPr>
                <w:rFonts w:hint="eastAsia" w:ascii="仿宋" w:hAnsi="仿宋" w:eastAsia="仿宋"/>
                <w:sz w:val="24"/>
              </w:rPr>
            </w:pPr>
          </w:p>
        </w:tc>
      </w:tr>
      <w:tr w14:paraId="32D9140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right w:val="single" w:color="auto" w:sz="6" w:space="0"/>
            </w:tcBorders>
            <w:tcMar>
              <w:left w:w="105" w:type="dxa"/>
              <w:right w:w="105" w:type="dxa"/>
            </w:tcMar>
            <w:vAlign w:val="center"/>
          </w:tcPr>
          <w:p w14:paraId="32D91401">
            <w:pPr>
              <w:spacing w:line="276" w:lineRule="auto"/>
              <w:rPr>
                <w:rFonts w:hint="eastAsia" w:ascii="仿宋" w:hAnsi="仿宋" w:eastAsia="仿宋"/>
                <w:b/>
                <w:bCs/>
                <w:sz w:val="24"/>
              </w:rPr>
            </w:pPr>
            <w:r>
              <w:rPr>
                <w:rFonts w:ascii="仿宋" w:hAnsi="仿宋" w:eastAsia="仿宋"/>
                <w:b/>
                <w:bCs/>
                <w:sz w:val="24"/>
              </w:rPr>
              <w:t>新书通报</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402">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配件辅料：2套</w:t>
            </w:r>
          </w:p>
          <w:p w14:paraId="32D91403">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含6孔插排工业级电源线音响、定时开关</w:t>
            </w:r>
          </w:p>
        </w:tc>
        <w:tc>
          <w:tcPr>
            <w:tcW w:w="1716" w:type="dxa"/>
            <w:tcBorders>
              <w:top w:val="single" w:color="auto" w:sz="6" w:space="0"/>
              <w:left w:val="single" w:color="auto" w:sz="6" w:space="0"/>
              <w:bottom w:val="single" w:color="auto" w:sz="6" w:space="0"/>
              <w:right w:val="single" w:color="auto" w:sz="6" w:space="0"/>
            </w:tcBorders>
          </w:tcPr>
          <w:p w14:paraId="32D91404">
            <w:pPr>
              <w:spacing w:line="276" w:lineRule="auto"/>
              <w:ind w:firstLine="420"/>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405">
            <w:pPr>
              <w:spacing w:line="276" w:lineRule="auto"/>
              <w:ind w:firstLine="420"/>
              <w:rPr>
                <w:rFonts w:hint="eastAsia" w:ascii="仿宋" w:hAnsi="仿宋" w:eastAsia="仿宋"/>
                <w:sz w:val="24"/>
              </w:rPr>
            </w:pPr>
          </w:p>
        </w:tc>
      </w:tr>
      <w:tr w14:paraId="32D9141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vMerge w:val="continue"/>
            <w:tcBorders>
              <w:left w:val="single" w:color="auto" w:sz="6" w:space="0"/>
              <w:bottom w:val="single" w:color="auto" w:sz="6" w:space="0"/>
              <w:right w:val="single" w:color="auto" w:sz="6" w:space="0"/>
            </w:tcBorders>
            <w:tcMar>
              <w:left w:w="105" w:type="dxa"/>
              <w:right w:w="105" w:type="dxa"/>
            </w:tcMar>
            <w:vAlign w:val="center"/>
          </w:tcPr>
          <w:p w14:paraId="32D91407">
            <w:pPr>
              <w:spacing w:line="276" w:lineRule="auto"/>
              <w:rPr>
                <w:rFonts w:hint="eastAsia" w:ascii="仿宋" w:hAnsi="仿宋" w:eastAsia="仿宋"/>
                <w:b/>
                <w:bCs/>
                <w:sz w:val="24"/>
              </w:rPr>
            </w:pPr>
            <w:r>
              <w:rPr>
                <w:rFonts w:ascii="仿宋" w:hAnsi="仿宋" w:eastAsia="仿宋"/>
                <w:b/>
                <w:bCs/>
                <w:sz w:val="24"/>
              </w:rPr>
              <w:t>新生须知</w:t>
            </w:r>
          </w:p>
        </w:tc>
        <w:tc>
          <w:tcPr>
            <w:tcW w:w="397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32D91408">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控制主机：2台</w:t>
            </w:r>
          </w:p>
          <w:p w14:paraId="32D91409">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windows 10 64位操作系统；</w:t>
            </w:r>
          </w:p>
          <w:p w14:paraId="32D9140A">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CPU ：不低于i7-9700；</w:t>
            </w:r>
          </w:p>
          <w:p w14:paraId="32D9140B">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运行内存：16G；</w:t>
            </w:r>
          </w:p>
          <w:p w14:paraId="32D9140C">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存储：SSD固态硬盘不低于500G；</w:t>
            </w:r>
          </w:p>
          <w:p w14:paraId="32D9140D">
            <w:pPr>
              <w:spacing w:before="120" w:after="120" w:line="288" w:lineRule="auto"/>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显卡：不低于P1000</w:t>
            </w:r>
          </w:p>
        </w:tc>
        <w:tc>
          <w:tcPr>
            <w:tcW w:w="1716" w:type="dxa"/>
            <w:tcBorders>
              <w:top w:val="single" w:color="auto" w:sz="6" w:space="0"/>
              <w:left w:val="single" w:color="auto" w:sz="6" w:space="0"/>
              <w:bottom w:val="single" w:color="auto" w:sz="6" w:space="0"/>
              <w:right w:val="single" w:color="auto" w:sz="6" w:space="0"/>
            </w:tcBorders>
          </w:tcPr>
          <w:p w14:paraId="32D9140E">
            <w:pPr>
              <w:spacing w:line="276" w:lineRule="auto"/>
              <w:ind w:firstLine="420"/>
              <w:rPr>
                <w:rFonts w:hint="eastAsia" w:ascii="仿宋" w:hAnsi="仿宋" w:eastAsia="仿宋"/>
                <w:sz w:val="24"/>
              </w:rPr>
            </w:pPr>
          </w:p>
        </w:tc>
        <w:tc>
          <w:tcPr>
            <w:tcW w:w="1843" w:type="dxa"/>
            <w:tcBorders>
              <w:top w:val="single" w:color="auto" w:sz="6" w:space="0"/>
              <w:left w:val="single" w:color="auto" w:sz="6" w:space="0"/>
              <w:bottom w:val="single" w:color="auto" w:sz="6" w:space="0"/>
              <w:right w:val="single" w:color="auto" w:sz="6" w:space="0"/>
            </w:tcBorders>
          </w:tcPr>
          <w:p w14:paraId="32D9140F">
            <w:pPr>
              <w:spacing w:line="276" w:lineRule="auto"/>
              <w:ind w:firstLine="420"/>
              <w:rPr>
                <w:rFonts w:hint="eastAsia" w:ascii="仿宋" w:hAnsi="仿宋" w:eastAsia="仿宋"/>
                <w:sz w:val="24"/>
              </w:rPr>
            </w:pPr>
          </w:p>
        </w:tc>
      </w:tr>
    </w:tbl>
    <w:p w14:paraId="32D91411"/>
    <w:p w14:paraId="32D91412">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微软雅黑"/>
          <w:b/>
          <w:bCs/>
          <w:color w:val="000000" w:themeColor="text1"/>
          <w:kern w:val="0"/>
          <w:sz w:val="32"/>
          <w:szCs w:val="32"/>
          <w14:textFill>
            <w14:solidFill>
              <w14:schemeClr w14:val="tx1"/>
            </w14:solidFill>
          </w14:textFill>
        </w:rPr>
        <w:t>说明：</w:t>
      </w:r>
      <w:r>
        <w:rPr>
          <w:rFonts w:ascii="Calibri" w:hAnsi="Calibri" w:eastAsia="仿宋" w:cs="Calibri"/>
          <w:color w:val="000000" w:themeColor="text1"/>
          <w:kern w:val="0"/>
          <w:sz w:val="32"/>
          <w:szCs w:val="32"/>
          <w14:textFill>
            <w14:solidFill>
              <w14:schemeClr w14:val="tx1"/>
            </w14:solidFill>
          </w14:textFill>
        </w:rPr>
        <w:t> </w:t>
      </w:r>
    </w:p>
    <w:p w14:paraId="32D91413">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Segoe UI"/>
          <w:b/>
          <w:bCs/>
          <w:color w:val="000000" w:themeColor="text1"/>
          <w:kern w:val="0"/>
          <w:sz w:val="32"/>
          <w:szCs w:val="32"/>
          <w14:textFill>
            <w14:solidFill>
              <w14:schemeClr w14:val="tx1"/>
            </w14:solidFill>
          </w14:textFill>
        </w:rPr>
        <w:t>1、逐项按照询价文件要求填写响应规格。</w:t>
      </w:r>
      <w:r>
        <w:rPr>
          <w:rFonts w:ascii="Calibri" w:hAnsi="Calibri" w:eastAsia="仿宋" w:cs="Calibri"/>
          <w:color w:val="000000" w:themeColor="text1"/>
          <w:kern w:val="0"/>
          <w:sz w:val="32"/>
          <w:szCs w:val="32"/>
          <w14:textFill>
            <w14:solidFill>
              <w14:schemeClr w14:val="tx1"/>
            </w14:solidFill>
          </w14:textFill>
        </w:rPr>
        <w:t> </w:t>
      </w:r>
    </w:p>
    <w:p w14:paraId="32D91414">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Segoe UI"/>
          <w:b/>
          <w:bCs/>
          <w:color w:val="000000" w:themeColor="text1"/>
          <w:kern w:val="0"/>
          <w:sz w:val="32"/>
          <w:szCs w:val="32"/>
          <w14:textFill>
            <w14:solidFill>
              <w14:schemeClr w14:val="tx1"/>
            </w14:solidFill>
          </w14:textFill>
        </w:rPr>
        <w:t>2、偏离说明是指对询价文件要求存在不同之处的解释说明。偏离系指：正偏离（高于招标要求）、负偏离（低于招标要求）、无偏离（满足招标要求）。</w:t>
      </w:r>
      <w:r>
        <w:rPr>
          <w:rFonts w:ascii="Calibri" w:hAnsi="Calibri" w:eastAsia="仿宋" w:cs="Calibri"/>
          <w:color w:val="000000" w:themeColor="text1"/>
          <w:kern w:val="0"/>
          <w:sz w:val="32"/>
          <w:szCs w:val="32"/>
          <w14:textFill>
            <w14:solidFill>
              <w14:schemeClr w14:val="tx1"/>
            </w14:solidFill>
          </w14:textFill>
        </w:rPr>
        <w:t> </w:t>
      </w:r>
    </w:p>
    <w:p w14:paraId="32D91415">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Segoe UI"/>
          <w:b/>
          <w:bCs/>
          <w:color w:val="000000" w:themeColor="text1"/>
          <w:kern w:val="0"/>
          <w:sz w:val="32"/>
          <w:szCs w:val="32"/>
          <w14:textFill>
            <w14:solidFill>
              <w14:schemeClr w14:val="tx1"/>
            </w14:solidFill>
          </w14:textFill>
        </w:rPr>
        <w:t>3、如不填写或填写不全或未如实填写，自行承担响应风险。</w:t>
      </w:r>
      <w:r>
        <w:rPr>
          <w:rFonts w:ascii="Calibri" w:hAnsi="Calibri" w:eastAsia="仿宋" w:cs="Calibri"/>
          <w:color w:val="000000" w:themeColor="text1"/>
          <w:kern w:val="0"/>
          <w:sz w:val="32"/>
          <w:szCs w:val="32"/>
          <w14:textFill>
            <w14:solidFill>
              <w14:schemeClr w14:val="tx1"/>
            </w14:solidFill>
          </w14:textFill>
        </w:rPr>
        <w:t> </w:t>
      </w:r>
    </w:p>
    <w:p w14:paraId="32D91416">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17">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18">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 xml:space="preserve">报价单位名称（盖章）： </w:t>
      </w:r>
    </w:p>
    <w:p w14:paraId="32D91419">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授权代表签字：</w:t>
      </w:r>
    </w:p>
    <w:p w14:paraId="32D9141A">
      <w:pPr>
        <w:widowControl/>
        <w:spacing w:line="276" w:lineRule="auto"/>
        <w:textAlignment w:val="baseline"/>
        <w:rPr>
          <w:rFonts w:hint="eastAsia" w:ascii="仿宋" w:hAnsi="仿宋" w:eastAsia="仿宋" w:cs="Segoe UI"/>
          <w:color w:val="000000" w:themeColor="text1"/>
          <w:sz w:val="32"/>
          <w:szCs w:val="32"/>
          <w14:textFill>
            <w14:solidFill>
              <w14:schemeClr w14:val="tx1"/>
            </w14:solidFill>
          </w14:textFill>
        </w:rPr>
      </w:pPr>
      <w:r>
        <w:rPr>
          <w:rFonts w:ascii="仿宋" w:hAnsi="仿宋" w:eastAsia="仿宋" w:cs="微软雅黑"/>
          <w:color w:val="000000" w:themeColor="text1"/>
          <w:kern w:val="0"/>
          <w:sz w:val="32"/>
          <w:szCs w:val="32"/>
          <w14:textFill>
            <w14:solidFill>
              <w14:schemeClr w14:val="tx1"/>
            </w14:solidFill>
          </w14:textFill>
        </w:rPr>
        <w:t>日期：</w:t>
      </w:r>
      <w:r>
        <w:rPr>
          <w:rFonts w:ascii="Calibri" w:hAnsi="Calibri" w:eastAsia="仿宋" w:cs="Calibri"/>
          <w:color w:val="000000" w:themeColor="text1"/>
          <w:kern w:val="0"/>
          <w:sz w:val="32"/>
          <w:szCs w:val="32"/>
          <w14:textFill>
            <w14:solidFill>
              <w14:schemeClr w14:val="tx1"/>
            </w14:solidFill>
          </w14:textFill>
        </w:rPr>
        <w:t> </w:t>
      </w:r>
      <w:r>
        <w:rPr>
          <w:rFonts w:ascii="仿宋" w:hAnsi="仿宋"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年</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月</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日</w:t>
      </w:r>
      <w:r>
        <w:rPr>
          <w:rFonts w:ascii="Calibri" w:hAnsi="Calibri" w:eastAsia="仿宋" w:cs="Calibri"/>
          <w:color w:val="000000" w:themeColor="text1"/>
          <w:kern w:val="0"/>
          <w:sz w:val="32"/>
          <w:szCs w:val="32"/>
          <w14:textFill>
            <w14:solidFill>
              <w14:schemeClr w14:val="tx1"/>
            </w14:solidFill>
          </w14:textFill>
        </w:rPr>
        <w:t> </w:t>
      </w:r>
    </w:p>
    <w:p w14:paraId="32D9141B">
      <w:pPr>
        <w:widowControl/>
        <w:spacing w:line="276" w:lineRule="auto"/>
        <w:textAlignment w:val="baseline"/>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32D9141C">
      <w:pPr>
        <w:widowControl/>
        <w:spacing w:line="276" w:lineRule="auto"/>
        <w:jc w:val="center"/>
        <w:rPr>
          <w:rFonts w:hint="eastAsia" w:ascii="仿宋" w:hAnsi="仿宋" w:eastAsia="仿宋" w:cs="Segoe UI"/>
          <w:color w:val="000000" w:themeColor="text1"/>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商务偏离表</w:t>
      </w:r>
    </w:p>
    <w:p w14:paraId="32D9141D">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ascii="仿宋" w:hAnsi="仿宋" w:eastAsia="仿宋" w:cs="微软雅黑"/>
          <w:color w:val="000000" w:themeColor="text1"/>
          <w:kern w:val="0"/>
          <w:sz w:val="32"/>
          <w:szCs w:val="32"/>
          <w14:textFill>
            <w14:solidFill>
              <w14:schemeClr w14:val="tx1"/>
            </w14:solidFill>
          </w14:textFill>
        </w:rPr>
        <w:t>项目名称：</w:t>
      </w:r>
      <w:r>
        <w:rPr>
          <w:rFonts w:ascii="仿宋" w:hAnsi="仿宋" w:eastAsia="仿宋"/>
          <w:color w:val="000000" w:themeColor="text1"/>
          <w:spacing w:val="-6"/>
          <w:sz w:val="32"/>
          <w:szCs w:val="32"/>
          <w14:textFill>
            <w14:solidFill>
              <w14:schemeClr w14:val="tx1"/>
            </w14:solidFill>
          </w14:textFill>
        </w:rPr>
        <w:t>浙江大学国际联合学院(海宁国际校区)</w:t>
      </w:r>
      <w:r>
        <w:rPr>
          <w:rFonts w:ascii="仿宋" w:hAnsi="仿宋" w:eastAsia="仿宋"/>
          <w:color w:val="000000" w:themeColor="text1"/>
          <w:sz w:val="32"/>
          <w:szCs w:val="32"/>
          <w14:textFill>
            <w14:solidFill>
              <w14:schemeClr w14:val="tx1"/>
            </w14:solidFill>
          </w14:textFill>
        </w:rPr>
        <w:t>图书馆瀑布流电子借阅系统</w:t>
      </w:r>
      <w:r>
        <w:rPr>
          <w:rFonts w:ascii="仿宋" w:hAnsi="仿宋" w:eastAsia="仿宋"/>
          <w:color w:val="000000" w:themeColor="text1"/>
          <w:spacing w:val="-6"/>
          <w:sz w:val="32"/>
          <w:szCs w:val="32"/>
          <w14:textFill>
            <w14:solidFill>
              <w14:schemeClr w14:val="tx1"/>
            </w14:solidFill>
          </w14:textFill>
        </w:rPr>
        <w:t>项目</w:t>
      </w:r>
    </w:p>
    <w:p w14:paraId="32D9141E">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微软雅黑"/>
          <w:color w:val="000000" w:themeColor="text1"/>
          <w:kern w:val="0"/>
          <w:sz w:val="32"/>
          <w:szCs w:val="32"/>
          <w14:textFill>
            <w14:solidFill>
              <w14:schemeClr w14:val="tx1"/>
            </w14:solidFill>
          </w14:textFill>
        </w:rPr>
        <w:t>项目编号：</w:t>
      </w:r>
      <w:r>
        <w:rPr>
          <w:rFonts w:ascii="Calibri" w:hAnsi="Calibri" w:eastAsia="仿宋" w:cs="Calibri"/>
          <w:color w:val="000000" w:themeColor="text1"/>
          <w:kern w:val="0"/>
          <w:sz w:val="32"/>
          <w:szCs w:val="32"/>
          <w14:textFill>
            <w14:solidFill>
              <w14:schemeClr w14:val="tx1"/>
            </w14:solidFill>
          </w14:textFill>
        </w:rPr>
        <w:t> </w:t>
      </w:r>
    </w:p>
    <w:tbl>
      <w:tblPr>
        <w:tblStyle w:val="20"/>
        <w:tblW w:w="84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3"/>
        <w:gridCol w:w="3828"/>
        <w:gridCol w:w="1275"/>
        <w:gridCol w:w="1701"/>
      </w:tblGrid>
      <w:tr w14:paraId="32D914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1F">
            <w:pPr>
              <w:widowControl/>
              <w:spacing w:afterAutospacing="1" w:line="276" w:lineRule="auto"/>
              <w:jc w:val="center"/>
              <w:textAlignment w:val="baseline"/>
              <w:rPr>
                <w:rFonts w:hint="eastAsia" w:ascii="仿宋" w:hAnsi="仿宋" w:eastAsia="仿宋"/>
                <w:color w:val="000000" w:themeColor="text1"/>
                <w:kern w:val="0"/>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项目</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20">
            <w:pPr>
              <w:widowControl/>
              <w:spacing w:afterAutospacing="1" w:line="276" w:lineRule="auto"/>
              <w:jc w:val="center"/>
              <w:textAlignment w:val="baseline"/>
              <w:rPr>
                <w:rFonts w:hint="eastAsia" w:ascii="仿宋" w:hAnsi="仿宋" w:eastAsia="仿宋"/>
                <w:color w:val="000000" w:themeColor="text1"/>
                <w:kern w:val="0"/>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磋商文件要求</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21">
            <w:pPr>
              <w:widowControl/>
              <w:spacing w:afterAutospacing="1" w:line="276" w:lineRule="auto"/>
              <w:jc w:val="center"/>
              <w:textAlignment w:val="baseline"/>
              <w:rPr>
                <w:rFonts w:hint="eastAsia" w:ascii="仿宋" w:hAnsi="仿宋" w:eastAsia="仿宋"/>
                <w:color w:val="000000" w:themeColor="text1"/>
                <w:kern w:val="0"/>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响应规格</w:t>
            </w: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22">
            <w:pPr>
              <w:spacing w:line="276" w:lineRule="auto"/>
              <w:rPr>
                <w:rFonts w:hint="eastAsia" w:ascii="仿宋" w:hAnsi="仿宋" w:eastAsia="仿宋" w:cs="宋体"/>
                <w:b/>
                <w:bCs/>
                <w:color w:val="000000" w:themeColor="text1"/>
                <w:sz w:val="32"/>
                <w:szCs w:val="32"/>
                <w14:textFill>
                  <w14:solidFill>
                    <w14:schemeClr w14:val="tx1"/>
                  </w14:solidFill>
                </w14:textFill>
              </w:rPr>
            </w:pPr>
            <w:r>
              <w:rPr>
                <w:rFonts w:ascii="仿宋" w:hAnsi="仿宋" w:eastAsia="仿宋" w:cs="微软雅黑"/>
                <w:b/>
                <w:bCs/>
                <w:color w:val="000000" w:themeColor="text1"/>
                <w:kern w:val="0"/>
                <w:sz w:val="32"/>
                <w:szCs w:val="32"/>
                <w14:textFill>
                  <w14:solidFill>
                    <w14:schemeClr w14:val="tx1"/>
                  </w14:solidFill>
                </w14:textFill>
              </w:rPr>
              <w:t>是否偏离</w:t>
            </w:r>
          </w:p>
          <w:p w14:paraId="32D91423">
            <w:pPr>
              <w:widowControl/>
              <w:spacing w:afterAutospacing="1" w:line="276" w:lineRule="auto"/>
              <w:jc w:val="center"/>
              <w:textAlignment w:val="baseline"/>
              <w:rPr>
                <w:rFonts w:hint="eastAsia" w:ascii="仿宋" w:hAnsi="仿宋" w:eastAsia="仿宋" w:cs="微软雅黑"/>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（详细说明）</w:t>
            </w:r>
          </w:p>
        </w:tc>
      </w:tr>
      <w:tr w14:paraId="32D914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25">
            <w:pPr>
              <w:spacing w:line="276" w:lineRule="auto"/>
              <w:jc w:val="center"/>
              <w:rPr>
                <w:rFonts w:hint="eastAsia" w:ascii="仿宋" w:hAnsi="仿宋" w:eastAsia="仿宋"/>
                <w:sz w:val="24"/>
              </w:rPr>
            </w:pPr>
            <w:r>
              <w:rPr>
                <w:rFonts w:ascii="仿宋" w:hAnsi="仿宋" w:eastAsia="仿宋"/>
                <w:sz w:val="24"/>
              </w:rPr>
              <w:t>履约能力</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26">
            <w:pPr>
              <w:jc w:val="left"/>
            </w:pPr>
            <w:r>
              <w:rPr>
                <w:rFonts w:ascii="仿宋" w:hAnsi="仿宋" w:eastAsia="仿宋" w:cs="仿宋"/>
                <w:color w:val="000000" w:themeColor="text1"/>
                <w:sz w:val="24"/>
                <w14:textFill>
                  <w14:solidFill>
                    <w14:schemeClr w14:val="tx1"/>
                  </w14:solidFill>
                </w14:textFill>
              </w:rPr>
              <w:t xml:space="preserve">（1）符合《中华人民共和国政府采购法》第二十二条相关规定，即： </w:t>
            </w:r>
          </w:p>
          <w:p w14:paraId="32D91427">
            <w:pPr>
              <w:jc w:val="left"/>
            </w:pPr>
            <w:r>
              <w:rPr>
                <w:rFonts w:ascii="仿宋" w:hAnsi="仿宋" w:eastAsia="仿宋" w:cs="仿宋"/>
                <w:color w:val="000000" w:themeColor="text1"/>
                <w:sz w:val="24"/>
                <w14:textFill>
                  <w14:solidFill>
                    <w14:schemeClr w14:val="tx1"/>
                  </w14:solidFill>
                </w14:textFill>
              </w:rPr>
              <w:t xml:space="preserve">   a.具有独立承担民事责任的能力； </w:t>
            </w:r>
          </w:p>
          <w:p w14:paraId="32D91428">
            <w:pPr>
              <w:jc w:val="left"/>
            </w:pPr>
            <w:r>
              <w:rPr>
                <w:rFonts w:ascii="仿宋" w:hAnsi="仿宋" w:eastAsia="仿宋" w:cs="仿宋"/>
                <w:color w:val="000000" w:themeColor="text1"/>
                <w:sz w:val="24"/>
                <w14:textFill>
                  <w14:solidFill>
                    <w14:schemeClr w14:val="tx1"/>
                  </w14:solidFill>
                </w14:textFill>
              </w:rPr>
              <w:t xml:space="preserve">   b.具有良好的商业信誉和健全的财务会计制度； </w:t>
            </w:r>
          </w:p>
          <w:p w14:paraId="32D91429">
            <w:pPr>
              <w:jc w:val="left"/>
            </w:pPr>
            <w:r>
              <w:rPr>
                <w:rFonts w:ascii="仿宋" w:hAnsi="仿宋" w:eastAsia="仿宋" w:cs="仿宋"/>
                <w:color w:val="000000" w:themeColor="text1"/>
                <w:sz w:val="24"/>
                <w14:textFill>
                  <w14:solidFill>
                    <w14:schemeClr w14:val="tx1"/>
                  </w14:solidFill>
                </w14:textFill>
              </w:rPr>
              <w:t xml:space="preserve">   c.具有履行合同所必需的设备和专业技术能力； </w:t>
            </w:r>
          </w:p>
          <w:p w14:paraId="32D9142A">
            <w:pPr>
              <w:jc w:val="left"/>
            </w:pPr>
            <w:r>
              <w:rPr>
                <w:rFonts w:ascii="仿宋" w:hAnsi="仿宋" w:eastAsia="仿宋" w:cs="仿宋"/>
                <w:color w:val="000000" w:themeColor="text1"/>
                <w:sz w:val="24"/>
                <w14:textFill>
                  <w14:solidFill>
                    <w14:schemeClr w14:val="tx1"/>
                  </w14:solidFill>
                </w14:textFill>
              </w:rPr>
              <w:t xml:space="preserve">   d.有依法缴纳税收和社会保障资金的良好记录； </w:t>
            </w:r>
          </w:p>
          <w:p w14:paraId="32D9142B">
            <w:pPr>
              <w:jc w:val="left"/>
            </w:pPr>
            <w:r>
              <w:rPr>
                <w:rFonts w:ascii="仿宋" w:hAnsi="仿宋" w:eastAsia="仿宋" w:cs="仿宋"/>
                <w:color w:val="000000" w:themeColor="text1"/>
                <w:sz w:val="24"/>
                <w14:textFill>
                  <w14:solidFill>
                    <w14:schemeClr w14:val="tx1"/>
                  </w14:solidFill>
                </w14:textFill>
              </w:rPr>
              <w:t xml:space="preserve">   e.参加政府采购活动前三年内，在经营活动中没有重大违法记录； </w:t>
            </w:r>
          </w:p>
          <w:p w14:paraId="32D9142C">
            <w:pPr>
              <w:jc w:val="left"/>
            </w:pPr>
            <w:r>
              <w:rPr>
                <w:rFonts w:ascii="仿宋" w:hAnsi="仿宋" w:eastAsia="仿宋" w:cs="仿宋"/>
                <w:color w:val="000000" w:themeColor="text1"/>
                <w:sz w:val="24"/>
                <w14:textFill>
                  <w14:solidFill>
                    <w14:schemeClr w14:val="tx1"/>
                  </w14:solidFill>
                </w14:textFill>
              </w:rPr>
              <w:t xml:space="preserve">   f.法律、行政法规规定的其他条件。 </w:t>
            </w:r>
          </w:p>
          <w:p w14:paraId="32D9142D">
            <w:pPr>
              <w:jc w:val="left"/>
            </w:pPr>
            <w:r>
              <w:rPr>
                <w:rFonts w:ascii="仿宋" w:hAnsi="仿宋" w:eastAsia="仿宋" w:cs="仿宋"/>
                <w:color w:val="000000" w:themeColor="text1"/>
                <w:sz w:val="24"/>
                <w14:textFill>
                  <w14:solidFill>
                    <w14:schemeClr w14:val="tx1"/>
                  </w14:solidFill>
                </w14:textFill>
              </w:rPr>
              <w:t>（2）符合《财政部关于在政府采购活动中查询及使用信用记录有关问题的通知》（财库〔2016〕125号）的相关要求。</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2E">
            <w:pPr>
              <w:spacing w:line="276" w:lineRule="auto"/>
              <w:jc w:val="center"/>
              <w:rPr>
                <w:rFonts w:hint="eastAsia" w:ascii="仿宋" w:hAnsi="仿宋" w:eastAsia="仿宋"/>
                <w:color w:val="000000" w:themeColor="text1"/>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2F">
            <w:pPr>
              <w:spacing w:line="276" w:lineRule="auto"/>
              <w:jc w:val="center"/>
              <w:rPr>
                <w:rFonts w:hint="eastAsia" w:ascii="仿宋" w:hAnsi="仿宋" w:eastAsia="仿宋"/>
                <w:color w:val="000000" w:themeColor="text1"/>
                <w:sz w:val="24"/>
                <w14:textFill>
                  <w14:solidFill>
                    <w14:schemeClr w14:val="tx1"/>
                  </w14:solidFill>
                </w14:textFill>
              </w:rPr>
            </w:pPr>
          </w:p>
        </w:tc>
      </w:tr>
      <w:tr w14:paraId="32D914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31">
            <w:pPr>
              <w:spacing w:line="276" w:lineRule="auto"/>
              <w:jc w:val="center"/>
              <w:rPr>
                <w:rFonts w:hint="eastAsia" w:ascii="仿宋" w:hAnsi="仿宋" w:eastAsia="仿宋"/>
                <w:sz w:val="24"/>
              </w:rPr>
            </w:pPr>
            <w:r>
              <w:rPr>
                <w:rFonts w:ascii="仿宋" w:hAnsi="仿宋" w:eastAsia="仿宋"/>
                <w:sz w:val="24"/>
              </w:rPr>
              <w:t>交货要求</w:t>
            </w:r>
          </w:p>
          <w:p w14:paraId="32D91432">
            <w:pPr>
              <w:widowControl/>
              <w:spacing w:afterAutospacing="1" w:line="276" w:lineRule="auto"/>
              <w:jc w:val="center"/>
              <w:textAlignment w:val="baseline"/>
              <w:rPr>
                <w:rFonts w:hint="eastAsia" w:ascii="仿宋" w:hAnsi="仿宋" w:eastAsia="仿宋" w:cs="微软雅黑"/>
                <w:color w:val="000000" w:themeColor="text1"/>
                <w:kern w:val="0"/>
                <w:sz w:val="24"/>
                <w14:textFill>
                  <w14:solidFill>
                    <w14:schemeClr w14:val="tx1"/>
                  </w14:solidFill>
                </w14:textFill>
              </w:rPr>
            </w:pP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33">
            <w:pPr>
              <w:spacing w:line="276"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（1）交货时间：合同签订合同后一个月内完成瀑布流安装、调试。  </w:t>
            </w:r>
            <w:r>
              <w:br w:type="textWrapping"/>
            </w:r>
            <w:r>
              <w:rPr>
                <w:rFonts w:ascii="仿宋" w:hAnsi="仿宋" w:eastAsia="仿宋" w:cs="仿宋"/>
                <w:color w:val="000000" w:themeColor="text1"/>
                <w:sz w:val="24"/>
                <w14:textFill>
                  <w14:solidFill>
                    <w14:schemeClr w14:val="tx1"/>
                  </w14:solidFill>
                </w14:textFill>
              </w:rPr>
              <w:t xml:space="preserve">（2）交货地点：浙江大学国际校区校内指定地点。 </w:t>
            </w:r>
          </w:p>
          <w:p w14:paraId="32D91434">
            <w:pPr>
              <w:spacing w:line="276" w:lineRule="auto"/>
            </w:pPr>
            <w:r>
              <w:rPr>
                <w:rFonts w:ascii="仿宋" w:hAnsi="仿宋" w:eastAsia="仿宋" w:cs="仿宋"/>
                <w:color w:val="000000" w:themeColor="text1"/>
                <w:sz w:val="24"/>
                <w14:textFill>
                  <w14:solidFill>
                    <w14:schemeClr w14:val="tx1"/>
                  </w14:solidFill>
                </w14:textFill>
              </w:rPr>
              <w:t>（3）设计安装：供方须按需方实际情况和要求进行瀑布流设备美化设计、安装实施，提供具体方案（附参考图）以保证瀑布流设备外观、颜色、规格等与图书馆设施环境相协调，瀑布流样式须经过需方确认。不得对地面、墙面等造成破坏，须对现场进行清理及恢复。</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35">
            <w:pPr>
              <w:widowControl/>
              <w:spacing w:afterAutospacing="1" w:line="276" w:lineRule="auto"/>
              <w:ind w:left="30"/>
              <w:jc w:val="center"/>
              <w:textAlignment w:val="baseline"/>
              <w:rPr>
                <w:rFonts w:hint="eastAsia" w:ascii="仿宋" w:hAnsi="仿宋" w:eastAsia="仿宋"/>
                <w:color w:val="000000" w:themeColor="text1"/>
                <w:kern w:val="0"/>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36">
            <w:pPr>
              <w:widowControl/>
              <w:spacing w:afterAutospacing="1" w:line="276" w:lineRule="auto"/>
              <w:ind w:left="30"/>
              <w:jc w:val="center"/>
              <w:textAlignment w:val="baseline"/>
              <w:rPr>
                <w:rFonts w:hint="eastAsia" w:ascii="仿宋" w:hAnsi="仿宋" w:eastAsia="仿宋"/>
                <w:color w:val="000000" w:themeColor="text1"/>
                <w:kern w:val="0"/>
                <w:sz w:val="24"/>
                <w14:textFill>
                  <w14:solidFill>
                    <w14:schemeClr w14:val="tx1"/>
                  </w14:solidFill>
                </w14:textFill>
              </w:rPr>
            </w:pPr>
          </w:p>
        </w:tc>
      </w:tr>
      <w:tr w14:paraId="32D91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38">
            <w:pPr>
              <w:spacing w:line="276" w:lineRule="auto"/>
              <w:jc w:val="center"/>
              <w:rPr>
                <w:rFonts w:hint="eastAsia" w:ascii="仿宋" w:hAnsi="仿宋" w:eastAsia="仿宋"/>
                <w:sz w:val="24"/>
              </w:rPr>
            </w:pPr>
            <w:r>
              <w:rPr>
                <w:rFonts w:ascii="仿宋" w:hAnsi="仿宋" w:eastAsia="仿宋"/>
                <w:sz w:val="24"/>
              </w:rPr>
              <w:t>验收条件</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39">
            <w:pPr>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（1）当满足以下条件时，通过验收： </w:t>
            </w:r>
          </w:p>
          <w:p w14:paraId="32D9143A">
            <w:pPr>
              <w:jc w:val="left"/>
            </w:pPr>
            <w:r>
              <w:rPr>
                <w:rFonts w:ascii="仿宋" w:hAnsi="仿宋" w:eastAsia="仿宋" w:cs="仿宋"/>
                <w:color w:val="000000" w:themeColor="text1"/>
                <w:sz w:val="24"/>
                <w14:textFill>
                  <w14:solidFill>
                    <w14:schemeClr w14:val="tx1"/>
                  </w14:solidFill>
                </w14:textFill>
              </w:rPr>
              <w:t xml:space="preserve">a.供方已按照合同规定提供全部产品及完整的技术资料。 </w:t>
            </w:r>
          </w:p>
          <w:p w14:paraId="32D9143B">
            <w:pPr>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b.货物符合询价文件技术规格书的要求和国家有关质量标准，硬件性能、软件性能满足要求。 </w:t>
            </w:r>
          </w:p>
          <w:p w14:paraId="32D9143C">
            <w:pPr>
              <w:jc w:val="left"/>
            </w:pPr>
            <w:r>
              <w:rPr>
                <w:rFonts w:ascii="仿宋" w:hAnsi="仿宋" w:eastAsia="仿宋" w:cs="仿宋"/>
                <w:color w:val="000000" w:themeColor="text1"/>
                <w:sz w:val="24"/>
                <w14:textFill>
                  <w14:solidFill>
                    <w14:schemeClr w14:val="tx1"/>
                  </w14:solidFill>
                </w14:textFill>
              </w:rPr>
              <w:t xml:space="preserve">c.货物具备产品合格证。 </w:t>
            </w:r>
          </w:p>
          <w:p w14:paraId="32D9143D">
            <w:pPr>
              <w:jc w:val="left"/>
            </w:pPr>
            <w:r>
              <w:rPr>
                <w:rFonts w:ascii="仿宋" w:hAnsi="仿宋" w:eastAsia="仿宋" w:cs="仿宋"/>
                <w:color w:val="000000" w:themeColor="text1"/>
                <w:sz w:val="24"/>
                <w14:textFill>
                  <w14:solidFill>
                    <w14:schemeClr w14:val="tx1"/>
                  </w14:solidFill>
                </w14:textFill>
              </w:rPr>
              <w:t>（2）产品保修期自验收合格之日起算。</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3E">
            <w:pPr>
              <w:spacing w:line="276" w:lineRule="auto"/>
              <w:jc w:val="center"/>
              <w:rPr>
                <w:rFonts w:hint="eastAsia" w:ascii="仿宋" w:hAnsi="仿宋" w:eastAsia="仿宋"/>
                <w:color w:val="000000" w:themeColor="text1"/>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3F">
            <w:pPr>
              <w:spacing w:line="276" w:lineRule="auto"/>
              <w:jc w:val="center"/>
              <w:rPr>
                <w:rFonts w:hint="eastAsia" w:ascii="仿宋" w:hAnsi="仿宋" w:eastAsia="仿宋"/>
                <w:color w:val="000000" w:themeColor="text1"/>
                <w:sz w:val="24"/>
                <w14:textFill>
                  <w14:solidFill>
                    <w14:schemeClr w14:val="tx1"/>
                  </w14:solidFill>
                </w14:textFill>
              </w:rPr>
            </w:pPr>
          </w:p>
        </w:tc>
      </w:tr>
      <w:tr w14:paraId="32D914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41">
            <w:pPr>
              <w:widowControl/>
              <w:spacing w:afterAutospacing="1" w:line="276" w:lineRule="auto"/>
              <w:jc w:val="center"/>
              <w:textAlignment w:val="baseline"/>
              <w:rPr>
                <w:rFonts w:hint="eastAsia" w:ascii="仿宋" w:hAnsi="仿宋" w:eastAsia="仿宋" w:cs="微软雅黑"/>
                <w:color w:val="000000" w:themeColor="text1"/>
                <w:kern w:val="0"/>
                <w:sz w:val="24"/>
                <w14:textFill>
                  <w14:solidFill>
                    <w14:schemeClr w14:val="tx1"/>
                  </w14:solidFill>
                </w14:textFill>
              </w:rPr>
            </w:pPr>
            <w:r>
              <w:rPr>
                <w:rFonts w:ascii="仿宋" w:hAnsi="仿宋" w:eastAsia="仿宋"/>
                <w:sz w:val="24"/>
              </w:rPr>
              <w:t>售后服务要求</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42">
            <w:pPr>
              <w:spacing w:line="276" w:lineRule="auto"/>
              <w:rPr>
                <w:rFonts w:hint="eastAsia" w:ascii="仿宋" w:hAnsi="仿宋" w:eastAsia="仿宋" w:cs="仿宋"/>
                <w:sz w:val="24"/>
              </w:rPr>
            </w:pPr>
            <w:r>
              <w:rPr>
                <w:rFonts w:ascii="仿宋" w:hAnsi="仿宋" w:eastAsia="仿宋"/>
                <w:sz w:val="24"/>
              </w:rPr>
              <w:t>（1）系统须提供</w:t>
            </w:r>
            <w:r>
              <w:rPr>
                <w:rFonts w:hint="eastAsia" w:ascii="仿宋" w:hAnsi="仿宋" w:eastAsia="仿宋"/>
                <w:sz w:val="24"/>
              </w:rPr>
              <w:t>3</w:t>
            </w:r>
            <w:r>
              <w:rPr>
                <w:rFonts w:ascii="仿宋" w:hAnsi="仿宋" w:eastAsia="仿宋"/>
                <w:sz w:val="24"/>
              </w:rPr>
              <w:t xml:space="preserve">年原厂质保（包括软件系统升级、资源更新、整机、备件、人工、现场），提供所投产品制造厂家针对本项目出具的售后服务承诺函。保期内供方提供给需方的所有资源，质保期结束后需方也可永久免费使用。出保后，每年维保费用（含软件系统升级、硬件维护和资源更新）由供方在投标时注明，服务标准与询价标准相同，是否续保由需方决定。 </w:t>
            </w:r>
            <w:r>
              <w:br w:type="textWrapping"/>
            </w:r>
            <w:r>
              <w:rPr>
                <w:rFonts w:ascii="仿宋" w:hAnsi="仿宋" w:eastAsia="仿宋" w:cs="仿宋"/>
                <w:color w:val="000000" w:themeColor="text1"/>
                <w:sz w:val="24"/>
                <w14:textFill>
                  <w14:solidFill>
                    <w14:schemeClr w14:val="tx1"/>
                  </w14:solidFill>
                </w14:textFill>
              </w:rPr>
              <w:t>（2）提供每周7*24小时服务，1小时内报修响应，若无法解决则24小时内到达现场，48小时内完成故障修复。故障48小时内无法解决的，需按需方要求免费提供备用产品。</w:t>
            </w:r>
            <w:r>
              <w:br w:type="textWrapping"/>
            </w:r>
            <w:r>
              <w:rPr>
                <w:rFonts w:ascii="仿宋" w:hAnsi="仿宋" w:eastAsia="仿宋" w:cs="仿宋"/>
                <w:color w:val="000000" w:themeColor="text1"/>
                <w:sz w:val="24"/>
                <w14:textFill>
                  <w14:solidFill>
                    <w14:schemeClr w14:val="tx1"/>
                  </w14:solidFill>
                </w14:textFill>
              </w:rPr>
              <w:t>（3）在质保期内，供方负责提供免费的使用培训和定期设备巡检服务（每学期至少1次），负责提供定期清洁维保服务（每学期至少2次）。</w:t>
            </w:r>
          </w:p>
          <w:p w14:paraId="32D91443">
            <w:pPr>
              <w:spacing w:line="276"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（4）在质保期内，供方须免费配合供方对设备进行安装位置的调整（不限次数）。</w:t>
            </w:r>
          </w:p>
          <w:p w14:paraId="32D91444">
            <w:pPr>
              <w:spacing w:line="276"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（5）供方须提供关于所投产品可安全、稳定运行的承诺，若因产品设计缺陷、质量问题、安装不规范、巡检不到位等原因给需方造成人员损伤、财产损失的，供方承担全部责任。</w:t>
            </w:r>
          </w:p>
          <w:p w14:paraId="32D91445">
            <w:pPr>
              <w:spacing w:line="276" w:lineRule="auto"/>
              <w:rPr>
                <w:rFonts w:hint="eastAsia" w:ascii="仿宋" w:hAnsi="仿宋" w:eastAsia="仿宋" w:cs="仿宋"/>
                <w:sz w:val="24"/>
              </w:rPr>
            </w:pPr>
            <w:r>
              <w:rPr>
                <w:rFonts w:ascii="仿宋" w:hAnsi="仿宋" w:eastAsia="仿宋" w:cs="仿宋"/>
                <w:color w:val="000000" w:themeColor="text1"/>
                <w:sz w:val="24"/>
                <w14:textFill>
                  <w14:solidFill>
                    <w14:schemeClr w14:val="tx1"/>
                  </w14:solidFill>
                </w14:textFill>
              </w:rPr>
              <w:t>（6）供方须负责系统实施、部署，因与图书馆其他应用系统对接产生的所有费用均包含在本项目中。</w:t>
            </w:r>
          </w:p>
          <w:p w14:paraId="32D91446">
            <w:pPr>
              <w:spacing w:line="276"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（7）供方须提供详细完整的项目实施文档、系统部署实施手册、使用说明书等。</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47">
            <w:pPr>
              <w:widowControl/>
              <w:spacing w:afterAutospacing="1" w:line="276" w:lineRule="auto"/>
              <w:ind w:left="30"/>
              <w:jc w:val="center"/>
              <w:textAlignment w:val="baseline"/>
              <w:rPr>
                <w:rFonts w:hint="eastAsia" w:ascii="仿宋" w:hAnsi="仿宋" w:eastAsia="仿宋"/>
                <w:color w:val="000000" w:themeColor="text1"/>
                <w:kern w:val="0"/>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48">
            <w:pPr>
              <w:widowControl/>
              <w:spacing w:afterAutospacing="1" w:line="276" w:lineRule="auto"/>
              <w:ind w:left="30"/>
              <w:jc w:val="center"/>
              <w:textAlignment w:val="baseline"/>
              <w:rPr>
                <w:rFonts w:hint="eastAsia" w:ascii="仿宋" w:hAnsi="仿宋" w:eastAsia="仿宋"/>
                <w:color w:val="000000" w:themeColor="text1"/>
                <w:kern w:val="0"/>
                <w:sz w:val="24"/>
                <w14:textFill>
                  <w14:solidFill>
                    <w14:schemeClr w14:val="tx1"/>
                  </w14:solidFill>
                </w14:textFill>
              </w:rPr>
            </w:pPr>
          </w:p>
        </w:tc>
      </w:tr>
      <w:tr w14:paraId="32D914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4A">
            <w:pPr>
              <w:spacing w:line="276" w:lineRule="auto"/>
              <w:jc w:val="center"/>
              <w:rPr>
                <w:rFonts w:hint="eastAsia" w:ascii="仿宋" w:hAnsi="仿宋" w:eastAsia="仿宋"/>
                <w:sz w:val="24"/>
              </w:rPr>
            </w:pPr>
            <w:r>
              <w:rPr>
                <w:rFonts w:ascii="仿宋" w:hAnsi="仿宋" w:eastAsia="仿宋"/>
                <w:sz w:val="24"/>
              </w:rPr>
              <w:t>许可证明</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4B">
            <w:pPr>
              <w:spacing w:line="276" w:lineRule="auto"/>
              <w:rPr>
                <w:rFonts w:hint="eastAsia" w:ascii="仿宋" w:hAnsi="仿宋" w:eastAsia="仿宋"/>
                <w:sz w:val="24"/>
              </w:rPr>
            </w:pPr>
            <w:r>
              <w:rPr>
                <w:rFonts w:ascii="仿宋" w:hAnsi="仿宋" w:eastAsia="仿宋"/>
                <w:sz w:val="24"/>
              </w:rPr>
              <w:t xml:space="preserve">（1）供方需提供瀑布流电子借阅系统相关的软件著作权证书。 </w:t>
            </w:r>
          </w:p>
          <w:p w14:paraId="32D9144C">
            <w:pPr>
              <w:spacing w:line="276" w:lineRule="auto"/>
            </w:pPr>
            <w:r>
              <w:rPr>
                <w:rFonts w:ascii="仿宋" w:hAnsi="仿宋" w:eastAsia="仿宋"/>
                <w:sz w:val="24"/>
              </w:rPr>
              <w:t xml:space="preserve">（2）供方须提供中华人民共和国出版物经营许可证。 </w:t>
            </w:r>
          </w:p>
          <w:p w14:paraId="32D9144D">
            <w:pPr>
              <w:spacing w:line="276" w:lineRule="auto"/>
            </w:pPr>
            <w:r>
              <w:rPr>
                <w:rFonts w:ascii="仿宋" w:hAnsi="仿宋" w:eastAsia="仿宋"/>
                <w:sz w:val="24"/>
              </w:rPr>
              <w:t xml:space="preserve">（3）供方须提供中华人民共和国网络出版服务许可证。 </w:t>
            </w:r>
          </w:p>
          <w:p w14:paraId="32D9144E">
            <w:pPr>
              <w:spacing w:line="276" w:lineRule="auto"/>
            </w:pPr>
            <w:r>
              <w:rPr>
                <w:rFonts w:ascii="仿宋" w:hAnsi="仿宋" w:eastAsia="仿宋"/>
                <w:sz w:val="24"/>
              </w:rPr>
              <w:t>（4）供方须提供广播电视节目制作经营许可证。</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4F">
            <w:pPr>
              <w:spacing w:line="276" w:lineRule="auto"/>
              <w:jc w:val="center"/>
              <w:rPr>
                <w:rFonts w:hint="eastAsia" w:ascii="仿宋" w:hAnsi="仿宋" w:eastAsia="仿宋"/>
                <w:color w:val="000000" w:themeColor="text1"/>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50">
            <w:pPr>
              <w:spacing w:line="276" w:lineRule="auto"/>
              <w:jc w:val="center"/>
              <w:rPr>
                <w:rFonts w:hint="eastAsia" w:ascii="仿宋" w:hAnsi="仿宋" w:eastAsia="仿宋"/>
                <w:color w:val="000000" w:themeColor="text1"/>
                <w:sz w:val="24"/>
                <w14:textFill>
                  <w14:solidFill>
                    <w14:schemeClr w14:val="tx1"/>
                  </w14:solidFill>
                </w14:textFill>
              </w:rPr>
            </w:pPr>
          </w:p>
        </w:tc>
      </w:tr>
      <w:tr w14:paraId="32D914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52">
            <w:pPr>
              <w:widowControl/>
              <w:spacing w:afterAutospacing="1" w:line="276" w:lineRule="auto"/>
              <w:jc w:val="center"/>
              <w:rPr>
                <w:rFonts w:hint="eastAsia" w:ascii="仿宋" w:hAnsi="仿宋" w:eastAsia="仿宋" w:cs="微软雅黑"/>
                <w:color w:val="000000" w:themeColor="text1"/>
                <w:sz w:val="24"/>
                <w14:textFill>
                  <w14:solidFill>
                    <w14:schemeClr w14:val="tx1"/>
                  </w14:solidFill>
                </w14:textFill>
              </w:rPr>
            </w:pPr>
            <w:r>
              <w:rPr>
                <w:rFonts w:ascii="仿宋" w:hAnsi="仿宋" w:eastAsia="仿宋" w:cs="微软雅黑"/>
                <w:color w:val="000000" w:themeColor="text1"/>
                <w:sz w:val="24"/>
                <w14:textFill>
                  <w14:solidFill>
                    <w14:schemeClr w14:val="tx1"/>
                  </w14:solidFill>
                </w14:textFill>
              </w:rPr>
              <w:t>履约保证金</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53">
            <w:pPr>
              <w:spacing w:line="276"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（1）供方应在合同签订前向采购方缴纳履约保证金。本合同履约保证金为合同总价的5%。</w:t>
            </w:r>
          </w:p>
          <w:p w14:paraId="32D91454">
            <w:pPr>
              <w:spacing w:line="276" w:lineRule="auto"/>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（2）履约保证金在验收合格之后自动转为质量保证金，质量保证金在验收合格满一年（12个月）无违约及质量问题，20个工作日内无息退还（遇寒暑假及国家假日延顺）。</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55">
            <w:pPr>
              <w:widowControl/>
              <w:spacing w:afterAutospacing="1" w:line="276" w:lineRule="auto"/>
              <w:ind w:left="30"/>
              <w:jc w:val="center"/>
              <w:rPr>
                <w:rFonts w:hint="eastAsia" w:ascii="仿宋" w:hAnsi="仿宋" w:eastAsia="仿宋"/>
                <w:color w:val="000000" w:themeColor="text1"/>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56">
            <w:pPr>
              <w:widowControl/>
              <w:spacing w:afterAutospacing="1" w:line="276" w:lineRule="auto"/>
              <w:ind w:left="30"/>
              <w:jc w:val="center"/>
              <w:rPr>
                <w:rFonts w:hint="eastAsia" w:ascii="仿宋" w:hAnsi="仿宋" w:eastAsia="仿宋"/>
                <w:color w:val="000000" w:themeColor="text1"/>
                <w:sz w:val="24"/>
                <w14:textFill>
                  <w14:solidFill>
                    <w14:schemeClr w14:val="tx1"/>
                  </w14:solidFill>
                </w14:textFill>
              </w:rPr>
            </w:pPr>
          </w:p>
        </w:tc>
      </w:tr>
      <w:tr w14:paraId="32D914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3" w:type="dxa"/>
            <w:tcBorders>
              <w:top w:val="single" w:color="auto" w:sz="6" w:space="0"/>
              <w:left w:val="single" w:color="auto" w:sz="6" w:space="0"/>
              <w:bottom w:val="single" w:color="auto" w:sz="6" w:space="0"/>
              <w:right w:val="single" w:color="auto" w:sz="6" w:space="0"/>
            </w:tcBorders>
            <w:shd w:val="clear" w:color="auto" w:fill="auto"/>
            <w:vAlign w:val="center"/>
          </w:tcPr>
          <w:p w14:paraId="32D91458">
            <w:pPr>
              <w:widowControl/>
              <w:spacing w:afterAutospacing="1" w:line="276" w:lineRule="auto"/>
              <w:jc w:val="center"/>
              <w:rPr>
                <w:rFonts w:hint="eastAsia" w:ascii="仿宋" w:hAnsi="仿宋" w:eastAsia="仿宋"/>
                <w:sz w:val="24"/>
              </w:rPr>
            </w:pPr>
            <w:r>
              <w:rPr>
                <w:rFonts w:ascii="仿宋" w:hAnsi="仿宋" w:eastAsia="仿宋"/>
                <w:sz w:val="24"/>
              </w:rPr>
              <w:t>结算方式</w:t>
            </w:r>
          </w:p>
        </w:tc>
        <w:tc>
          <w:tcPr>
            <w:tcW w:w="3828" w:type="dxa"/>
            <w:tcBorders>
              <w:top w:val="single" w:color="auto" w:sz="6" w:space="0"/>
              <w:left w:val="single" w:color="auto" w:sz="6" w:space="0"/>
              <w:bottom w:val="single" w:color="auto" w:sz="6" w:space="0"/>
              <w:right w:val="single" w:color="auto" w:sz="6" w:space="0"/>
            </w:tcBorders>
            <w:shd w:val="clear" w:color="auto" w:fill="auto"/>
            <w:vAlign w:val="center"/>
          </w:tcPr>
          <w:p w14:paraId="32D91459">
            <w:pPr>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供方应一次性交付全部采购资源。货物完成安装后，需方依据询价文件上的技术规格要求和国家有关质量标准在30个工作日（遇假期顺延）内验收完毕，并出具验收报告。对验收不合格的不予接收。非不可抗力因素而拒绝验收或无故刁难，超过规定期限的，视同已验收，损失由需方自负。 </w:t>
            </w:r>
          </w:p>
          <w:p w14:paraId="32D9145A">
            <w:pPr>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（2）需方向供方的付款计划安排如下： </w:t>
            </w:r>
          </w:p>
          <w:p w14:paraId="32D9145B">
            <w:pPr>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第一期款：验收通过后，支付至合同金额70%； </w:t>
            </w:r>
          </w:p>
          <w:p w14:paraId="32D9145C">
            <w:pPr>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第二期款：试运行三个月后，支付至合同金额30%。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32D9145D">
            <w:pPr>
              <w:widowControl/>
              <w:spacing w:afterAutospacing="1" w:line="276" w:lineRule="auto"/>
              <w:ind w:left="30"/>
              <w:jc w:val="center"/>
              <w:rPr>
                <w:rFonts w:hint="eastAsia" w:ascii="仿宋" w:hAnsi="仿宋" w:eastAsia="仿宋"/>
                <w:color w:val="000000" w:themeColor="text1"/>
                <w:sz w:val="24"/>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tcPr>
          <w:p w14:paraId="32D9145E">
            <w:pPr>
              <w:widowControl/>
              <w:spacing w:afterAutospacing="1" w:line="276" w:lineRule="auto"/>
              <w:ind w:left="30"/>
              <w:jc w:val="center"/>
              <w:rPr>
                <w:rFonts w:hint="eastAsia" w:ascii="仿宋" w:hAnsi="仿宋" w:eastAsia="仿宋"/>
                <w:color w:val="000000" w:themeColor="text1"/>
                <w:sz w:val="24"/>
                <w14:textFill>
                  <w14:solidFill>
                    <w14:schemeClr w14:val="tx1"/>
                  </w14:solidFill>
                </w14:textFill>
              </w:rPr>
            </w:pPr>
          </w:p>
        </w:tc>
      </w:tr>
    </w:tbl>
    <w:p w14:paraId="32D91460">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ascii="Calibri" w:hAnsi="Calibri" w:eastAsia="仿宋" w:cs="Calibri"/>
          <w:color w:val="000000" w:themeColor="text1"/>
          <w:kern w:val="0"/>
          <w:sz w:val="32"/>
          <w:szCs w:val="32"/>
          <w14:textFill>
            <w14:solidFill>
              <w14:schemeClr w14:val="tx1"/>
            </w14:solidFill>
          </w14:textFill>
        </w:rPr>
        <w:t> </w:t>
      </w:r>
    </w:p>
    <w:p w14:paraId="32D91461">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微软雅黑"/>
          <w:b/>
          <w:bCs/>
          <w:color w:val="000000" w:themeColor="text1"/>
          <w:kern w:val="0"/>
          <w:sz w:val="32"/>
          <w:szCs w:val="32"/>
          <w14:textFill>
            <w14:solidFill>
              <w14:schemeClr w14:val="tx1"/>
            </w14:solidFill>
          </w14:textFill>
        </w:rPr>
        <w:t>说明：</w:t>
      </w:r>
      <w:r>
        <w:rPr>
          <w:rFonts w:ascii="Calibri" w:hAnsi="Calibri" w:eastAsia="仿宋" w:cs="Calibri"/>
          <w:color w:val="000000" w:themeColor="text1"/>
          <w:kern w:val="0"/>
          <w:sz w:val="32"/>
          <w:szCs w:val="32"/>
          <w14:textFill>
            <w14:solidFill>
              <w14:schemeClr w14:val="tx1"/>
            </w14:solidFill>
          </w14:textFill>
        </w:rPr>
        <w:t> </w:t>
      </w:r>
    </w:p>
    <w:p w14:paraId="32D91462">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Segoe UI"/>
          <w:b/>
          <w:bCs/>
          <w:color w:val="000000" w:themeColor="text1"/>
          <w:kern w:val="0"/>
          <w:sz w:val="32"/>
          <w:szCs w:val="32"/>
          <w14:textFill>
            <w14:solidFill>
              <w14:schemeClr w14:val="tx1"/>
            </w14:solidFill>
          </w14:textFill>
        </w:rPr>
        <w:t>1</w:t>
      </w:r>
      <w:r>
        <w:rPr>
          <w:rFonts w:hint="eastAsia" w:ascii="仿宋" w:hAnsi="仿宋" w:eastAsia="仿宋" w:cs="微软雅黑"/>
          <w:b/>
          <w:bCs/>
          <w:color w:val="000000" w:themeColor="text1"/>
          <w:kern w:val="0"/>
          <w:sz w:val="32"/>
          <w:szCs w:val="32"/>
          <w14:textFill>
            <w14:solidFill>
              <w14:schemeClr w14:val="tx1"/>
            </w14:solidFill>
          </w14:textFill>
        </w:rPr>
        <w:t>、逐项按照询价文件要求填写响应规格。</w:t>
      </w:r>
      <w:r>
        <w:rPr>
          <w:rFonts w:ascii="Calibri" w:hAnsi="Calibri" w:eastAsia="仿宋" w:cs="Calibri"/>
          <w:color w:val="000000" w:themeColor="text1"/>
          <w:kern w:val="0"/>
          <w:sz w:val="32"/>
          <w:szCs w:val="32"/>
          <w14:textFill>
            <w14:solidFill>
              <w14:schemeClr w14:val="tx1"/>
            </w14:solidFill>
          </w14:textFill>
        </w:rPr>
        <w:t> </w:t>
      </w:r>
    </w:p>
    <w:p w14:paraId="32D91463">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Segoe UI"/>
          <w:b/>
          <w:bCs/>
          <w:color w:val="000000" w:themeColor="text1"/>
          <w:kern w:val="0"/>
          <w:sz w:val="32"/>
          <w:szCs w:val="32"/>
          <w14:textFill>
            <w14:solidFill>
              <w14:schemeClr w14:val="tx1"/>
            </w14:solidFill>
          </w14:textFill>
        </w:rPr>
        <w:t>2</w:t>
      </w:r>
      <w:r>
        <w:rPr>
          <w:rFonts w:hint="eastAsia" w:ascii="仿宋" w:hAnsi="仿宋" w:eastAsia="仿宋" w:cs="微软雅黑"/>
          <w:b/>
          <w:bCs/>
          <w:color w:val="000000" w:themeColor="text1"/>
          <w:kern w:val="0"/>
          <w:sz w:val="32"/>
          <w:szCs w:val="32"/>
          <w14:textFill>
            <w14:solidFill>
              <w14:schemeClr w14:val="tx1"/>
            </w14:solidFill>
          </w14:textFill>
        </w:rPr>
        <w:t>、偏离说明是指对询价文件要求存在不同之处的解释说明。偏离系指：正偏离（高于招标要求）、负偏离（低于招标要求）、无偏离（满足招标要求）。</w:t>
      </w:r>
      <w:r>
        <w:rPr>
          <w:rFonts w:ascii="Calibri" w:hAnsi="Calibri" w:eastAsia="仿宋" w:cs="Calibri"/>
          <w:color w:val="000000" w:themeColor="text1"/>
          <w:kern w:val="0"/>
          <w:sz w:val="32"/>
          <w:szCs w:val="32"/>
          <w14:textFill>
            <w14:solidFill>
              <w14:schemeClr w14:val="tx1"/>
            </w14:solidFill>
          </w14:textFill>
        </w:rPr>
        <w:t> </w:t>
      </w:r>
    </w:p>
    <w:p w14:paraId="32D91464">
      <w:pPr>
        <w:widowControl/>
        <w:spacing w:line="276" w:lineRule="auto"/>
        <w:textAlignment w:val="baseline"/>
        <w:rPr>
          <w:rFonts w:hint="eastAsia" w:ascii="仿宋" w:hAnsi="仿宋" w:eastAsia="仿宋" w:cs="Segoe UI"/>
          <w:color w:val="000000" w:themeColor="text1"/>
          <w:kern w:val="0"/>
          <w:sz w:val="32"/>
          <w:szCs w:val="32"/>
          <w14:textFill>
            <w14:solidFill>
              <w14:schemeClr w14:val="tx1"/>
            </w14:solidFill>
          </w14:textFill>
        </w:rPr>
      </w:pPr>
      <w:r>
        <w:rPr>
          <w:rFonts w:hint="eastAsia" w:ascii="仿宋" w:hAnsi="仿宋" w:eastAsia="仿宋" w:cs="Segoe UI"/>
          <w:b/>
          <w:bCs/>
          <w:color w:val="000000" w:themeColor="text1"/>
          <w:kern w:val="0"/>
          <w:sz w:val="32"/>
          <w:szCs w:val="32"/>
          <w14:textFill>
            <w14:solidFill>
              <w14:schemeClr w14:val="tx1"/>
            </w14:solidFill>
          </w14:textFill>
        </w:rPr>
        <w:t>3</w:t>
      </w:r>
      <w:r>
        <w:rPr>
          <w:rFonts w:hint="eastAsia" w:ascii="仿宋" w:hAnsi="仿宋" w:eastAsia="仿宋" w:cs="微软雅黑"/>
          <w:b/>
          <w:bCs/>
          <w:color w:val="000000" w:themeColor="text1"/>
          <w:kern w:val="0"/>
          <w:sz w:val="32"/>
          <w:szCs w:val="32"/>
          <w14:textFill>
            <w14:solidFill>
              <w14:schemeClr w14:val="tx1"/>
            </w14:solidFill>
          </w14:textFill>
        </w:rPr>
        <w:t>、如不填写或填写不全或未如实填写，自行承担响应风险。</w:t>
      </w:r>
      <w:r>
        <w:rPr>
          <w:rFonts w:ascii="Calibri" w:hAnsi="Calibri" w:eastAsia="仿宋" w:cs="Calibri"/>
          <w:color w:val="000000" w:themeColor="text1"/>
          <w:kern w:val="0"/>
          <w:sz w:val="32"/>
          <w:szCs w:val="32"/>
          <w14:textFill>
            <w14:solidFill>
              <w14:schemeClr w14:val="tx1"/>
            </w14:solidFill>
          </w14:textFill>
        </w:rPr>
        <w:t> </w:t>
      </w:r>
    </w:p>
    <w:p w14:paraId="32D91465">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66">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67">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 xml:space="preserve">报价单位名称（盖章）： </w:t>
      </w:r>
    </w:p>
    <w:p w14:paraId="32D91468">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授权代表签字：</w:t>
      </w:r>
    </w:p>
    <w:p w14:paraId="32D91469">
      <w:pPr>
        <w:widowControl/>
        <w:spacing w:line="276" w:lineRule="auto"/>
        <w:textAlignment w:val="baseline"/>
        <w:rPr>
          <w:rFonts w:hint="eastAsia" w:ascii="仿宋" w:hAnsi="仿宋" w:eastAsia="仿宋" w:cs="Segoe UI"/>
          <w:color w:val="000000" w:themeColor="text1"/>
          <w:sz w:val="32"/>
          <w:szCs w:val="32"/>
          <w14:textFill>
            <w14:solidFill>
              <w14:schemeClr w14:val="tx1"/>
            </w14:solidFill>
          </w14:textFill>
        </w:rPr>
      </w:pPr>
      <w:r>
        <w:rPr>
          <w:rFonts w:ascii="仿宋" w:hAnsi="仿宋" w:eastAsia="仿宋" w:cs="微软雅黑"/>
          <w:color w:val="000000" w:themeColor="text1"/>
          <w:kern w:val="0"/>
          <w:sz w:val="32"/>
          <w:szCs w:val="32"/>
          <w14:textFill>
            <w14:solidFill>
              <w14:schemeClr w14:val="tx1"/>
            </w14:solidFill>
          </w14:textFill>
        </w:rPr>
        <w:t>日期：</w:t>
      </w:r>
      <w:r>
        <w:rPr>
          <w:rFonts w:ascii="Calibri" w:hAnsi="Calibri" w:eastAsia="仿宋" w:cs="Calibri"/>
          <w:color w:val="000000" w:themeColor="text1"/>
          <w:kern w:val="0"/>
          <w:sz w:val="32"/>
          <w:szCs w:val="32"/>
          <w14:textFill>
            <w14:solidFill>
              <w14:schemeClr w14:val="tx1"/>
            </w14:solidFill>
          </w14:textFill>
        </w:rPr>
        <w:t> </w:t>
      </w:r>
      <w:r>
        <w:rPr>
          <w:rFonts w:ascii="仿宋" w:hAnsi="仿宋"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年</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月</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日</w:t>
      </w:r>
      <w:r>
        <w:rPr>
          <w:rFonts w:ascii="Calibri" w:hAnsi="Calibri" w:eastAsia="仿宋" w:cs="Calibri"/>
          <w:color w:val="000000" w:themeColor="text1"/>
          <w:kern w:val="0"/>
          <w:sz w:val="32"/>
          <w:szCs w:val="32"/>
          <w14:textFill>
            <w14:solidFill>
              <w14:schemeClr w14:val="tx1"/>
            </w14:solidFill>
          </w14:textFill>
        </w:rPr>
        <w:t> </w:t>
      </w:r>
    </w:p>
    <w:p w14:paraId="32D9146A">
      <w:pPr>
        <w:widowControl/>
        <w:spacing w:line="276" w:lineRule="auto"/>
        <w:textAlignment w:val="baseline"/>
        <w:rPr>
          <w:rFonts w:hint="eastAsia" w:ascii="仿宋" w:hAnsi="仿宋" w:eastAsia="仿宋"/>
          <w:b/>
          <w:color w:val="000000" w:themeColor="text1"/>
          <w:spacing w:val="-6"/>
          <w:sz w:val="32"/>
          <w:szCs w:val="32"/>
          <w14:textFill>
            <w14:solidFill>
              <w14:schemeClr w14:val="tx1"/>
            </w14:solidFill>
          </w14:textFill>
        </w:rPr>
      </w:pPr>
      <w:r>
        <w:rPr>
          <w:rFonts w:ascii="Calibri" w:hAnsi="Calibri" w:eastAsia="仿宋" w:cs="Calibri"/>
          <w:color w:val="000000" w:themeColor="text1"/>
          <w:kern w:val="0"/>
          <w:sz w:val="32"/>
          <w:szCs w:val="32"/>
          <w14:textFill>
            <w14:solidFill>
              <w14:schemeClr w14:val="tx1"/>
            </w14:solidFill>
          </w14:textFill>
        </w:rPr>
        <w:t> </w:t>
      </w:r>
    </w:p>
    <w:p w14:paraId="32D9146B">
      <w:pPr>
        <w:widowControl/>
        <w:jc w:val="left"/>
        <w:rPr>
          <w:rFonts w:hint="eastAsia" w:ascii="仿宋" w:hAnsi="仿宋" w:eastAsia="仿宋"/>
          <w:b/>
          <w:color w:val="000000" w:themeColor="text1"/>
          <w:spacing w:val="-6"/>
          <w:sz w:val="32"/>
          <w:szCs w:val="32"/>
          <w14:textFill>
            <w14:solidFill>
              <w14:schemeClr w14:val="tx1"/>
            </w14:solidFill>
          </w14:textFill>
        </w:rPr>
      </w:pPr>
      <w:r>
        <w:rPr>
          <w:rFonts w:ascii="仿宋" w:hAnsi="仿宋" w:eastAsia="仿宋"/>
          <w:b/>
          <w:color w:val="000000" w:themeColor="text1"/>
          <w:spacing w:val="-6"/>
          <w:sz w:val="32"/>
          <w:szCs w:val="32"/>
          <w14:textFill>
            <w14:solidFill>
              <w14:schemeClr w14:val="tx1"/>
            </w14:solidFill>
          </w14:textFill>
        </w:rPr>
        <w:br w:type="page"/>
      </w:r>
    </w:p>
    <w:p w14:paraId="32D9146C">
      <w:pPr>
        <w:widowControl/>
        <w:spacing w:line="276" w:lineRule="auto"/>
        <w:jc w:val="center"/>
        <w:rPr>
          <w:rFonts w:hint="eastAsia" w:ascii="仿宋" w:hAnsi="仿宋" w:eastAsia="仿宋" w:cs="微软雅黑"/>
          <w:b/>
          <w:bCs/>
          <w:color w:val="000000" w:themeColor="text1"/>
          <w:kern w:val="0"/>
          <w:sz w:val="32"/>
          <w:szCs w:val="32"/>
          <w14:textFill>
            <w14:solidFill>
              <w14:schemeClr w14:val="tx1"/>
            </w14:solidFill>
          </w14:textFill>
        </w:rPr>
      </w:pPr>
      <w:r>
        <w:rPr>
          <w:rFonts w:hint="eastAsia" w:ascii="仿宋" w:hAnsi="仿宋" w:eastAsia="仿宋" w:cs="微软雅黑"/>
          <w:b/>
          <w:bCs/>
          <w:color w:val="000000" w:themeColor="text1"/>
          <w:kern w:val="0"/>
          <w:sz w:val="32"/>
          <w:szCs w:val="32"/>
          <w14:textFill>
            <w14:solidFill>
              <w14:schemeClr w14:val="tx1"/>
            </w14:solidFill>
          </w14:textFill>
        </w:rPr>
        <w:t>报价单位一般情况</w:t>
      </w:r>
    </w:p>
    <w:tbl>
      <w:tblPr>
        <w:tblStyle w:val="20"/>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6"/>
        <w:gridCol w:w="848"/>
        <w:gridCol w:w="4536"/>
      </w:tblGrid>
      <w:tr w14:paraId="32D9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6D">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1</w:t>
            </w:r>
          </w:p>
        </w:tc>
        <w:tc>
          <w:tcPr>
            <w:tcW w:w="8080" w:type="dxa"/>
            <w:gridSpan w:val="3"/>
            <w:vAlign w:val="center"/>
          </w:tcPr>
          <w:p w14:paraId="32D9146E">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企业名称：</w:t>
            </w:r>
          </w:p>
        </w:tc>
      </w:tr>
      <w:tr w14:paraId="32D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70">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2</w:t>
            </w:r>
          </w:p>
        </w:tc>
        <w:tc>
          <w:tcPr>
            <w:tcW w:w="8080" w:type="dxa"/>
            <w:gridSpan w:val="3"/>
            <w:vAlign w:val="center"/>
          </w:tcPr>
          <w:p w14:paraId="32D91471">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总部地址：</w:t>
            </w:r>
          </w:p>
        </w:tc>
      </w:tr>
      <w:tr w14:paraId="32D9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73">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3</w:t>
            </w:r>
          </w:p>
        </w:tc>
        <w:tc>
          <w:tcPr>
            <w:tcW w:w="8080" w:type="dxa"/>
            <w:gridSpan w:val="3"/>
            <w:vAlign w:val="center"/>
          </w:tcPr>
          <w:p w14:paraId="32D91474">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当地代表处地址：</w:t>
            </w:r>
          </w:p>
        </w:tc>
      </w:tr>
      <w:tr w14:paraId="32D9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76">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4</w:t>
            </w:r>
          </w:p>
        </w:tc>
        <w:tc>
          <w:tcPr>
            <w:tcW w:w="3544" w:type="dxa"/>
            <w:gridSpan w:val="2"/>
            <w:vAlign w:val="center"/>
          </w:tcPr>
          <w:p w14:paraId="32D91477">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电话：</w:t>
            </w:r>
          </w:p>
        </w:tc>
        <w:tc>
          <w:tcPr>
            <w:tcW w:w="4536" w:type="dxa"/>
            <w:vAlign w:val="center"/>
          </w:tcPr>
          <w:p w14:paraId="32D91478">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联系人：</w:t>
            </w:r>
          </w:p>
        </w:tc>
      </w:tr>
      <w:tr w14:paraId="32D9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7A">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5</w:t>
            </w:r>
          </w:p>
        </w:tc>
        <w:tc>
          <w:tcPr>
            <w:tcW w:w="3544" w:type="dxa"/>
            <w:gridSpan w:val="2"/>
            <w:vAlign w:val="center"/>
          </w:tcPr>
          <w:p w14:paraId="32D9147B">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传真：</w:t>
            </w:r>
          </w:p>
        </w:tc>
        <w:tc>
          <w:tcPr>
            <w:tcW w:w="4536" w:type="dxa"/>
            <w:vAlign w:val="center"/>
          </w:tcPr>
          <w:p w14:paraId="32D9147C">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电子信箱：</w:t>
            </w:r>
          </w:p>
        </w:tc>
      </w:tr>
      <w:tr w14:paraId="32D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7E">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6</w:t>
            </w:r>
          </w:p>
        </w:tc>
        <w:tc>
          <w:tcPr>
            <w:tcW w:w="3544" w:type="dxa"/>
            <w:gridSpan w:val="2"/>
            <w:vAlign w:val="center"/>
          </w:tcPr>
          <w:p w14:paraId="32D9147F">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注册地：</w:t>
            </w:r>
          </w:p>
        </w:tc>
        <w:tc>
          <w:tcPr>
            <w:tcW w:w="4536" w:type="dxa"/>
            <w:vAlign w:val="center"/>
          </w:tcPr>
          <w:p w14:paraId="32D91480">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注册年份：</w:t>
            </w:r>
          </w:p>
        </w:tc>
      </w:tr>
      <w:tr w14:paraId="32D9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82">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7</w:t>
            </w:r>
          </w:p>
        </w:tc>
        <w:tc>
          <w:tcPr>
            <w:tcW w:w="8080" w:type="dxa"/>
            <w:gridSpan w:val="3"/>
            <w:vAlign w:val="center"/>
          </w:tcPr>
          <w:p w14:paraId="32D91483">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公司的资质等级（请附上有关证书的复印件）</w:t>
            </w:r>
          </w:p>
        </w:tc>
      </w:tr>
      <w:tr w14:paraId="32D9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85">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8</w:t>
            </w:r>
          </w:p>
        </w:tc>
        <w:tc>
          <w:tcPr>
            <w:tcW w:w="8080" w:type="dxa"/>
            <w:gridSpan w:val="3"/>
            <w:vAlign w:val="center"/>
          </w:tcPr>
          <w:p w14:paraId="32D91486">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公司（是否通过，何种）质量保证体系认证（如通过请附相关证书复印件，提供认证机构年审监督报告）</w:t>
            </w:r>
          </w:p>
        </w:tc>
      </w:tr>
      <w:tr w14:paraId="32D9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88">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9</w:t>
            </w:r>
          </w:p>
        </w:tc>
        <w:tc>
          <w:tcPr>
            <w:tcW w:w="2696" w:type="dxa"/>
            <w:vAlign w:val="center"/>
          </w:tcPr>
          <w:p w14:paraId="32D91489">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作为承包人经历年数</w:t>
            </w:r>
          </w:p>
        </w:tc>
        <w:tc>
          <w:tcPr>
            <w:tcW w:w="5384" w:type="dxa"/>
            <w:gridSpan w:val="2"/>
            <w:vAlign w:val="center"/>
          </w:tcPr>
          <w:p w14:paraId="32D9148A">
            <w:pPr>
              <w:spacing w:line="276" w:lineRule="auto"/>
              <w:rPr>
                <w:rFonts w:hint="eastAsia" w:ascii="仿宋" w:hAnsi="仿宋" w:eastAsia="仿宋"/>
                <w:color w:val="000000" w:themeColor="text1"/>
                <w:spacing w:val="-6"/>
                <w:sz w:val="32"/>
                <w:szCs w:val="32"/>
                <w14:textFill>
                  <w14:solidFill>
                    <w14:schemeClr w14:val="tx1"/>
                  </w14:solidFill>
                </w14:textFill>
              </w:rPr>
            </w:pPr>
          </w:p>
        </w:tc>
      </w:tr>
      <w:tr w14:paraId="32D9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2D9148C">
            <w:pPr>
              <w:spacing w:line="276" w:lineRule="auto"/>
              <w:jc w:val="center"/>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10</w:t>
            </w:r>
          </w:p>
        </w:tc>
        <w:tc>
          <w:tcPr>
            <w:tcW w:w="2696" w:type="dxa"/>
            <w:vAlign w:val="center"/>
          </w:tcPr>
          <w:p w14:paraId="32D9148D">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其他需要说明的情况</w:t>
            </w:r>
          </w:p>
        </w:tc>
        <w:tc>
          <w:tcPr>
            <w:tcW w:w="5384" w:type="dxa"/>
            <w:gridSpan w:val="2"/>
            <w:vAlign w:val="center"/>
          </w:tcPr>
          <w:p w14:paraId="32D9148E">
            <w:pPr>
              <w:spacing w:line="276" w:lineRule="auto"/>
              <w:rPr>
                <w:rFonts w:hint="eastAsia" w:ascii="仿宋" w:hAnsi="仿宋" w:eastAsia="仿宋"/>
                <w:color w:val="000000" w:themeColor="text1"/>
                <w:spacing w:val="-6"/>
                <w:sz w:val="32"/>
                <w:szCs w:val="32"/>
                <w14:textFill>
                  <w14:solidFill>
                    <w14:schemeClr w14:val="tx1"/>
                  </w14:solidFill>
                </w14:textFill>
              </w:rPr>
            </w:pPr>
          </w:p>
        </w:tc>
      </w:tr>
    </w:tbl>
    <w:p w14:paraId="32D91490">
      <w:pPr>
        <w:spacing w:line="276" w:lineRule="auto"/>
        <w:rPr>
          <w:rFonts w:hint="eastAsia"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说明：所有报价单位都须填写此表。</w:t>
      </w:r>
    </w:p>
    <w:p w14:paraId="32D91491">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92">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93">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 xml:space="preserve">报价单位名称（盖章）： </w:t>
      </w:r>
    </w:p>
    <w:p w14:paraId="32D91494">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授权代表签字：</w:t>
      </w:r>
    </w:p>
    <w:p w14:paraId="32D91495">
      <w:pPr>
        <w:widowControl/>
        <w:spacing w:line="276" w:lineRule="auto"/>
        <w:textAlignment w:val="baseline"/>
        <w:rPr>
          <w:rFonts w:hint="eastAsia" w:ascii="仿宋" w:hAnsi="仿宋" w:eastAsia="仿宋" w:cs="Segoe UI"/>
          <w:color w:val="000000" w:themeColor="text1"/>
          <w:sz w:val="32"/>
          <w:szCs w:val="32"/>
          <w14:textFill>
            <w14:solidFill>
              <w14:schemeClr w14:val="tx1"/>
            </w14:solidFill>
          </w14:textFill>
        </w:rPr>
      </w:pPr>
      <w:r>
        <w:rPr>
          <w:rFonts w:ascii="仿宋" w:hAnsi="仿宋" w:eastAsia="仿宋" w:cs="微软雅黑"/>
          <w:color w:val="000000" w:themeColor="text1"/>
          <w:kern w:val="0"/>
          <w:sz w:val="32"/>
          <w:szCs w:val="32"/>
          <w14:textFill>
            <w14:solidFill>
              <w14:schemeClr w14:val="tx1"/>
            </w14:solidFill>
          </w14:textFill>
        </w:rPr>
        <w:t>日期：</w:t>
      </w:r>
      <w:r>
        <w:rPr>
          <w:rFonts w:ascii="Calibri" w:hAnsi="Calibri" w:eastAsia="仿宋" w:cs="Calibri"/>
          <w:color w:val="000000" w:themeColor="text1"/>
          <w:kern w:val="0"/>
          <w:sz w:val="32"/>
          <w:szCs w:val="32"/>
          <w14:textFill>
            <w14:solidFill>
              <w14:schemeClr w14:val="tx1"/>
            </w14:solidFill>
          </w14:textFill>
        </w:rPr>
        <w:t> </w:t>
      </w:r>
      <w:r>
        <w:rPr>
          <w:rFonts w:ascii="仿宋" w:hAnsi="仿宋"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年</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月</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日</w:t>
      </w:r>
      <w:r>
        <w:rPr>
          <w:rFonts w:ascii="Calibri" w:hAnsi="Calibri" w:eastAsia="仿宋" w:cs="Calibri"/>
          <w:color w:val="000000" w:themeColor="text1"/>
          <w:kern w:val="0"/>
          <w:sz w:val="32"/>
          <w:szCs w:val="32"/>
          <w14:textFill>
            <w14:solidFill>
              <w14:schemeClr w14:val="tx1"/>
            </w14:solidFill>
          </w14:textFill>
        </w:rPr>
        <w:t> </w:t>
      </w:r>
    </w:p>
    <w:p w14:paraId="32D91496">
      <w:pPr>
        <w:widowControl/>
        <w:jc w:val="left"/>
        <w:rPr>
          <w:rFonts w:hint="eastAsia" w:ascii="仿宋" w:hAnsi="仿宋" w:eastAsia="仿宋"/>
          <w:color w:val="000000" w:themeColor="text1"/>
          <w:spacing w:val="-6"/>
          <w:sz w:val="32"/>
          <w:szCs w:val="32"/>
          <w14:textFill>
            <w14:solidFill>
              <w14:schemeClr w14:val="tx1"/>
            </w14:solidFill>
          </w14:textFill>
        </w:rPr>
      </w:pPr>
      <w:r>
        <w:rPr>
          <w:rFonts w:ascii="仿宋" w:hAnsi="仿宋" w:eastAsia="仿宋"/>
          <w:color w:val="000000" w:themeColor="text1"/>
          <w:spacing w:val="-6"/>
          <w:sz w:val="32"/>
          <w:szCs w:val="32"/>
          <w14:textFill>
            <w14:solidFill>
              <w14:schemeClr w14:val="tx1"/>
            </w14:solidFill>
          </w14:textFill>
        </w:rPr>
        <w:br w:type="page"/>
      </w:r>
    </w:p>
    <w:p w14:paraId="32D91497">
      <w:pPr>
        <w:spacing w:line="276" w:lineRule="auto"/>
        <w:rPr>
          <w:rFonts w:hint="eastAsia" w:ascii="仿宋" w:hAnsi="仿宋" w:eastAsia="仿宋"/>
          <w:color w:val="000000" w:themeColor="text1"/>
          <w:spacing w:val="-6"/>
          <w:sz w:val="32"/>
          <w:szCs w:val="32"/>
          <w14:textFill>
            <w14:solidFill>
              <w14:schemeClr w14:val="tx1"/>
            </w14:solidFill>
          </w14:textFill>
        </w:rPr>
      </w:pPr>
    </w:p>
    <w:p w14:paraId="32D91498">
      <w:pPr>
        <w:spacing w:line="276" w:lineRule="auto"/>
        <w:jc w:val="center"/>
        <w:rPr>
          <w:rFonts w:hint="eastAsia" w:ascii="仿宋" w:hAnsi="仿宋" w:eastAsia="仿宋"/>
          <w:b/>
          <w:color w:val="000000" w:themeColor="text1"/>
          <w:spacing w:val="-6"/>
          <w:sz w:val="32"/>
          <w:szCs w:val="32"/>
          <w14:textFill>
            <w14:solidFill>
              <w14:schemeClr w14:val="tx1"/>
            </w14:solidFill>
          </w14:textFill>
        </w:rPr>
      </w:pPr>
      <w:r>
        <w:rPr>
          <w:rFonts w:ascii="仿宋" w:hAnsi="仿宋" w:eastAsia="仿宋"/>
          <w:b/>
          <w:color w:val="000000" w:themeColor="text1"/>
          <w:spacing w:val="-6"/>
          <w:sz w:val="32"/>
          <w:szCs w:val="32"/>
          <w14:textFill>
            <w14:solidFill>
              <w14:schemeClr w14:val="tx1"/>
            </w14:solidFill>
          </w14:textFill>
        </w:rPr>
        <w:t>法定代表人资格证明书</w:t>
      </w:r>
    </w:p>
    <w:p w14:paraId="32D91499">
      <w:pPr>
        <w:spacing w:line="276" w:lineRule="auto"/>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致: 浙江大学国际联合学院(海宁国际校区)：</w:t>
      </w:r>
    </w:p>
    <w:p w14:paraId="32D9149A">
      <w:pPr>
        <w:spacing w:line="276" w:lineRule="auto"/>
        <w:ind w:firstLine="616" w:firstLineChars="200"/>
        <w:rPr>
          <w:rFonts w:hint="eastAsia" w:ascii="仿宋" w:hAnsi="仿宋" w:eastAsia="仿宋"/>
          <w:bCs/>
          <w:color w:val="000000" w:themeColor="text1"/>
          <w:spacing w:val="-6"/>
          <w:sz w:val="32"/>
          <w:szCs w:val="32"/>
          <w14:textFill>
            <w14:solidFill>
              <w14:schemeClr w14:val="tx1"/>
            </w14:solidFill>
          </w14:textFill>
        </w:rPr>
      </w:pPr>
      <w:r>
        <w:rPr>
          <w:rFonts w:hint="eastAsia" w:ascii="仿宋" w:hAnsi="仿宋" w:eastAsia="仿宋"/>
          <w:bCs/>
          <w:color w:val="000000" w:themeColor="text1"/>
          <w:spacing w:val="-6"/>
          <w:sz w:val="32"/>
          <w:szCs w:val="32"/>
          <w14:textFill>
            <w14:solidFill>
              <w14:schemeClr w14:val="tx1"/>
            </w14:solidFill>
          </w14:textFill>
        </w:rPr>
        <w:t>我</w:t>
      </w:r>
      <w:r>
        <w:rPr>
          <w:rFonts w:hint="eastAsia" w:ascii="仿宋" w:hAnsi="仿宋" w:eastAsia="仿宋"/>
          <w:color w:val="000000" w:themeColor="text1"/>
          <w:spacing w:val="-6"/>
          <w:sz w:val="32"/>
          <w:szCs w:val="32"/>
          <w:u w:val="single"/>
          <w14:textFill>
            <w14:solidFill>
              <w14:schemeClr w14:val="tx1"/>
            </w14:solidFill>
          </w14:textFill>
        </w:rPr>
        <w:t xml:space="preserve">                 </w:t>
      </w:r>
      <w:r>
        <w:rPr>
          <w:rFonts w:ascii="仿宋" w:hAnsi="仿宋" w:eastAsia="仿宋"/>
          <w:bCs/>
          <w:color w:val="000000" w:themeColor="text1"/>
          <w:spacing w:val="-6"/>
          <w:sz w:val="32"/>
          <w:szCs w:val="32"/>
          <w14:textFill>
            <w14:solidFill>
              <w14:schemeClr w14:val="tx1"/>
            </w14:solidFill>
          </w14:textFill>
        </w:rPr>
        <w:t>（姓名）系</w:t>
      </w:r>
      <w:r>
        <w:rPr>
          <w:rFonts w:hint="eastAsia" w:ascii="仿宋" w:hAnsi="仿宋" w:eastAsia="仿宋"/>
          <w:color w:val="000000" w:themeColor="text1"/>
          <w:spacing w:val="-6"/>
          <w:sz w:val="32"/>
          <w:szCs w:val="32"/>
          <w:u w:val="single"/>
          <w14:textFill>
            <w14:solidFill>
              <w14:schemeClr w14:val="tx1"/>
            </w14:solidFill>
          </w14:textFill>
        </w:rPr>
        <w:t xml:space="preserve">                            </w:t>
      </w:r>
      <w:r>
        <w:rPr>
          <w:rFonts w:hint="eastAsia" w:ascii="仿宋" w:hAnsi="仿宋" w:eastAsia="仿宋"/>
          <w:bCs/>
          <w:color w:val="000000" w:themeColor="text1"/>
          <w:spacing w:val="-6"/>
          <w:sz w:val="32"/>
          <w:szCs w:val="32"/>
          <w14:textFill>
            <w14:solidFill>
              <w14:schemeClr w14:val="tx1"/>
            </w14:solidFill>
          </w14:textFill>
        </w:rPr>
        <w:t>（</w:t>
      </w:r>
      <w:r>
        <w:rPr>
          <w:rFonts w:hint="eastAsia" w:ascii="仿宋" w:hAnsi="仿宋" w:eastAsia="仿宋"/>
          <w:color w:val="000000" w:themeColor="text1"/>
          <w:spacing w:val="-6"/>
          <w:sz w:val="32"/>
          <w:szCs w:val="32"/>
          <w14:textFill>
            <w14:solidFill>
              <w14:schemeClr w14:val="tx1"/>
            </w14:solidFill>
          </w14:textFill>
        </w:rPr>
        <w:t>报价单位</w:t>
      </w:r>
      <w:r>
        <w:rPr>
          <w:rFonts w:hint="eastAsia" w:ascii="仿宋" w:hAnsi="仿宋" w:eastAsia="仿宋"/>
          <w:bCs/>
          <w:color w:val="000000" w:themeColor="text1"/>
          <w:spacing w:val="-6"/>
          <w:sz w:val="32"/>
          <w:szCs w:val="32"/>
          <w14:textFill>
            <w14:solidFill>
              <w14:schemeClr w14:val="tx1"/>
            </w14:solidFill>
          </w14:textFill>
        </w:rPr>
        <w:t>名称）</w:t>
      </w:r>
      <w:r>
        <w:rPr>
          <w:rFonts w:ascii="仿宋" w:hAnsi="仿宋" w:eastAsia="仿宋"/>
          <w:bCs/>
          <w:color w:val="000000" w:themeColor="text1"/>
          <w:spacing w:val="-6"/>
          <w:sz w:val="32"/>
          <w:szCs w:val="32"/>
          <w14:textFill>
            <w14:solidFill>
              <w14:schemeClr w14:val="tx1"/>
            </w14:solidFill>
          </w14:textFill>
        </w:rPr>
        <w:t>的法定代表人，身份证号</w:t>
      </w:r>
      <w:r>
        <w:rPr>
          <w:rFonts w:hint="eastAsia" w:ascii="仿宋" w:hAnsi="仿宋" w:eastAsia="仿宋"/>
          <w:bCs/>
          <w:color w:val="000000" w:themeColor="text1"/>
          <w:spacing w:val="-6"/>
          <w:sz w:val="32"/>
          <w:szCs w:val="32"/>
          <w14:textFill>
            <w14:solidFill>
              <w14:schemeClr w14:val="tx1"/>
            </w14:solidFill>
          </w14:textFill>
        </w:rPr>
        <w:t>：</w:t>
      </w:r>
      <w:r>
        <w:rPr>
          <w:rFonts w:hint="eastAsia" w:ascii="仿宋" w:hAnsi="仿宋" w:eastAsia="仿宋"/>
          <w:color w:val="000000" w:themeColor="text1"/>
          <w:spacing w:val="-6"/>
          <w:sz w:val="32"/>
          <w:szCs w:val="32"/>
          <w:u w:val="single"/>
          <w14:textFill>
            <w14:solidFill>
              <w14:schemeClr w14:val="tx1"/>
            </w14:solidFill>
          </w14:textFill>
        </w:rPr>
        <w:t xml:space="preserve">                                     </w:t>
      </w:r>
      <w:r>
        <w:rPr>
          <w:rFonts w:ascii="仿宋" w:hAnsi="仿宋" w:eastAsia="仿宋"/>
          <w:bCs/>
          <w:color w:val="000000" w:themeColor="text1"/>
          <w:spacing w:val="-6"/>
          <w:sz w:val="32"/>
          <w:szCs w:val="32"/>
          <w14:textFill>
            <w14:solidFill>
              <w14:schemeClr w14:val="tx1"/>
            </w14:solidFill>
          </w14:textFill>
        </w:rPr>
        <w:t>。</w:t>
      </w:r>
    </w:p>
    <w:p w14:paraId="32D9149B">
      <w:pPr>
        <w:spacing w:line="276" w:lineRule="auto"/>
        <w:ind w:firstLine="616" w:firstLineChars="200"/>
        <w:rPr>
          <w:rFonts w:hint="eastAsia" w:ascii="仿宋" w:hAnsi="仿宋" w:eastAsia="仿宋"/>
          <w:bCs/>
          <w:color w:val="000000" w:themeColor="text1"/>
          <w:spacing w:val="-6"/>
          <w:sz w:val="32"/>
          <w:szCs w:val="32"/>
          <w14:textFill>
            <w14:solidFill>
              <w14:schemeClr w14:val="tx1"/>
            </w14:solidFill>
          </w14:textFill>
        </w:rPr>
      </w:pPr>
      <w:r>
        <w:rPr>
          <w:rFonts w:ascii="仿宋" w:hAnsi="仿宋" w:eastAsia="仿宋"/>
          <w:bCs/>
          <w:color w:val="000000" w:themeColor="text1"/>
          <w:spacing w:val="-6"/>
          <w:sz w:val="32"/>
          <w:szCs w:val="32"/>
          <w14:textFill>
            <w14:solidFill>
              <w14:schemeClr w14:val="tx1"/>
            </w14:solidFill>
          </w14:textFill>
        </w:rPr>
        <w:t>特此证明。</w:t>
      </w:r>
    </w:p>
    <w:p w14:paraId="32D9149C">
      <w:pPr>
        <w:spacing w:line="276" w:lineRule="auto"/>
        <w:rPr>
          <w:rFonts w:hint="eastAsia" w:ascii="仿宋" w:hAnsi="仿宋" w:eastAsia="仿宋"/>
          <w:bCs/>
          <w:color w:val="000000" w:themeColor="text1"/>
          <w:spacing w:val="-6"/>
          <w:sz w:val="32"/>
          <w:szCs w:val="32"/>
          <w14:textFill>
            <w14:solidFill>
              <w14:schemeClr w14:val="tx1"/>
            </w14:solidFill>
          </w14:textFill>
        </w:rPr>
      </w:pPr>
    </w:p>
    <w:tbl>
      <w:tblPr>
        <w:tblStyle w:val="2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4"/>
      </w:tblGrid>
      <w:tr w14:paraId="32D9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684" w:type="dxa"/>
          </w:tcPr>
          <w:p w14:paraId="32D9149D">
            <w:pPr>
              <w:spacing w:line="276"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法定代表人身份证：</w:t>
            </w:r>
          </w:p>
          <w:p w14:paraId="32D9149E">
            <w:pPr>
              <w:spacing w:line="276" w:lineRule="auto"/>
              <w:rPr>
                <w:rFonts w:hint="eastAsia" w:ascii="仿宋" w:hAnsi="仿宋" w:eastAsia="仿宋"/>
                <w:color w:val="000000" w:themeColor="text1"/>
                <w:sz w:val="32"/>
                <w:szCs w:val="32"/>
                <w14:textFill>
                  <w14:solidFill>
                    <w14:schemeClr w14:val="tx1"/>
                  </w14:solidFill>
                </w14:textFill>
              </w:rPr>
            </w:pPr>
          </w:p>
          <w:p w14:paraId="32D9149F">
            <w:pPr>
              <w:spacing w:line="276" w:lineRule="auto"/>
              <w:rPr>
                <w:rFonts w:hint="eastAsia" w:ascii="仿宋" w:hAnsi="仿宋" w:eastAsia="仿宋"/>
                <w:color w:val="000000" w:themeColor="text1"/>
                <w:sz w:val="32"/>
                <w:szCs w:val="32"/>
                <w14:textFill>
                  <w14:solidFill>
                    <w14:schemeClr w14:val="tx1"/>
                  </w14:solidFill>
                </w14:textFill>
              </w:rPr>
            </w:pPr>
          </w:p>
          <w:p w14:paraId="32D914A0">
            <w:pPr>
              <w:spacing w:line="276" w:lineRule="auto"/>
              <w:rPr>
                <w:rFonts w:hint="eastAsia" w:ascii="仿宋" w:hAnsi="仿宋" w:eastAsia="仿宋"/>
                <w:color w:val="000000" w:themeColor="text1"/>
                <w:sz w:val="32"/>
                <w:szCs w:val="32"/>
                <w14:textFill>
                  <w14:solidFill>
                    <w14:schemeClr w14:val="tx1"/>
                  </w14:solidFill>
                </w14:textFill>
              </w:rPr>
            </w:pPr>
          </w:p>
          <w:p w14:paraId="32D914A1">
            <w:pPr>
              <w:spacing w:line="276" w:lineRule="auto"/>
              <w:rPr>
                <w:rFonts w:hint="eastAsia" w:ascii="仿宋" w:hAnsi="仿宋" w:eastAsia="仿宋"/>
                <w:color w:val="000000" w:themeColor="text1"/>
                <w:sz w:val="32"/>
                <w:szCs w:val="32"/>
                <w14:textFill>
                  <w14:solidFill>
                    <w14:schemeClr w14:val="tx1"/>
                  </w14:solidFill>
                </w14:textFill>
              </w:rPr>
            </w:pPr>
          </w:p>
          <w:p w14:paraId="32D914A2">
            <w:pPr>
              <w:spacing w:line="276"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复印件粘贴处</w:t>
            </w:r>
          </w:p>
          <w:p w14:paraId="32D914A3">
            <w:pPr>
              <w:spacing w:line="276" w:lineRule="auto"/>
              <w:rPr>
                <w:rFonts w:hint="eastAsia" w:ascii="仿宋" w:hAnsi="仿宋" w:eastAsia="仿宋"/>
                <w:bCs/>
                <w:color w:val="000000" w:themeColor="text1"/>
                <w:spacing w:val="-6"/>
                <w:sz w:val="32"/>
                <w:szCs w:val="32"/>
                <w14:textFill>
                  <w14:solidFill>
                    <w14:schemeClr w14:val="tx1"/>
                  </w14:solidFill>
                </w14:textFill>
              </w:rPr>
            </w:pPr>
          </w:p>
        </w:tc>
      </w:tr>
    </w:tbl>
    <w:p w14:paraId="32D914A5">
      <w:pPr>
        <w:spacing w:line="276" w:lineRule="auto"/>
        <w:rPr>
          <w:rFonts w:hint="eastAsia" w:ascii="仿宋" w:hAnsi="仿宋" w:eastAsia="仿宋"/>
          <w:bCs/>
          <w:color w:val="000000" w:themeColor="text1"/>
          <w:spacing w:val="-6"/>
          <w:sz w:val="32"/>
          <w:szCs w:val="32"/>
          <w14:textFill>
            <w14:solidFill>
              <w14:schemeClr w14:val="tx1"/>
            </w14:solidFill>
          </w14:textFill>
        </w:rPr>
      </w:pPr>
    </w:p>
    <w:p w14:paraId="32D914A6">
      <w:pPr>
        <w:spacing w:line="276" w:lineRule="auto"/>
        <w:rPr>
          <w:rFonts w:hint="eastAsia" w:ascii="仿宋" w:hAnsi="仿宋" w:eastAsia="仿宋"/>
          <w:b/>
          <w:bCs/>
          <w:color w:val="000000" w:themeColor="text1"/>
          <w:spacing w:val="-6"/>
          <w:sz w:val="32"/>
          <w:szCs w:val="32"/>
          <w14:textFill>
            <w14:solidFill>
              <w14:schemeClr w14:val="tx1"/>
            </w14:solidFill>
          </w14:textFill>
        </w:rPr>
      </w:pPr>
    </w:p>
    <w:p w14:paraId="32D914A7">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 xml:space="preserve">报价单位名称（盖章）： </w:t>
      </w:r>
    </w:p>
    <w:p w14:paraId="32D914A8">
      <w:pPr>
        <w:spacing w:line="276" w:lineRule="auto"/>
        <w:rPr>
          <w:rFonts w:hint="eastAsia"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授权代表签字：</w:t>
      </w:r>
    </w:p>
    <w:p w14:paraId="32D914A9">
      <w:pPr>
        <w:widowControl/>
        <w:spacing w:line="276" w:lineRule="auto"/>
        <w:textAlignment w:val="baseline"/>
        <w:rPr>
          <w:rFonts w:hint="eastAsia" w:ascii="仿宋" w:hAnsi="仿宋" w:eastAsia="仿宋" w:cs="Segoe UI"/>
          <w:color w:val="000000" w:themeColor="text1"/>
          <w:sz w:val="32"/>
          <w:szCs w:val="32"/>
          <w14:textFill>
            <w14:solidFill>
              <w14:schemeClr w14:val="tx1"/>
            </w14:solidFill>
          </w14:textFill>
        </w:rPr>
      </w:pPr>
      <w:r>
        <w:rPr>
          <w:rFonts w:ascii="仿宋" w:hAnsi="仿宋" w:eastAsia="仿宋" w:cs="微软雅黑"/>
          <w:color w:val="000000" w:themeColor="text1"/>
          <w:kern w:val="0"/>
          <w:sz w:val="32"/>
          <w:szCs w:val="32"/>
          <w14:textFill>
            <w14:solidFill>
              <w14:schemeClr w14:val="tx1"/>
            </w14:solidFill>
          </w14:textFill>
        </w:rPr>
        <w:t>日期：</w:t>
      </w:r>
      <w:r>
        <w:rPr>
          <w:rFonts w:ascii="Calibri" w:hAnsi="Calibri" w:eastAsia="仿宋" w:cs="Calibri"/>
          <w:color w:val="000000" w:themeColor="text1"/>
          <w:kern w:val="0"/>
          <w:sz w:val="32"/>
          <w:szCs w:val="32"/>
          <w14:textFill>
            <w14:solidFill>
              <w14:schemeClr w14:val="tx1"/>
            </w14:solidFill>
          </w14:textFill>
        </w:rPr>
        <w:t> </w:t>
      </w:r>
      <w:r>
        <w:rPr>
          <w:rFonts w:ascii="仿宋" w:hAnsi="仿宋"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年</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月</w:t>
      </w:r>
      <w:r>
        <w:rPr>
          <w:rFonts w:ascii="Calibri" w:hAnsi="Calibri" w:eastAsia="仿宋" w:cs="Calibri"/>
          <w:color w:val="000000" w:themeColor="text1"/>
          <w:kern w:val="0"/>
          <w:sz w:val="32"/>
          <w:szCs w:val="32"/>
          <w14:textFill>
            <w14:solidFill>
              <w14:schemeClr w14:val="tx1"/>
            </w14:solidFill>
          </w14:textFill>
        </w:rPr>
        <w:t xml:space="preserve">  </w:t>
      </w:r>
      <w:r>
        <w:rPr>
          <w:rFonts w:ascii="仿宋" w:hAnsi="仿宋" w:eastAsia="仿宋" w:cs="微软雅黑"/>
          <w:color w:val="000000" w:themeColor="text1"/>
          <w:kern w:val="0"/>
          <w:sz w:val="32"/>
          <w:szCs w:val="32"/>
          <w14:textFill>
            <w14:solidFill>
              <w14:schemeClr w14:val="tx1"/>
            </w14:solidFill>
          </w14:textFill>
        </w:rPr>
        <w:t>日</w:t>
      </w:r>
      <w:r>
        <w:rPr>
          <w:rFonts w:ascii="Calibri" w:hAnsi="Calibri" w:eastAsia="仿宋" w:cs="Calibri"/>
          <w:color w:val="000000" w:themeColor="text1"/>
          <w:kern w:val="0"/>
          <w:sz w:val="32"/>
          <w:szCs w:val="32"/>
          <w14:textFill>
            <w14:solidFill>
              <w14:schemeClr w14:val="tx1"/>
            </w14:solidFill>
          </w14:textFill>
        </w:rPr>
        <w:t> </w:t>
      </w:r>
    </w:p>
    <w:p w14:paraId="32D914AA">
      <w:pPr>
        <w:spacing w:line="276" w:lineRule="auto"/>
        <w:ind w:right="456"/>
        <w:rPr>
          <w:rFonts w:hint="eastAsia"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ksdb"/>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14B3">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7</w:t>
    </w:r>
    <w:r>
      <w:rPr>
        <w:rStyle w:val="23"/>
      </w:rPr>
      <w:fldChar w:fldCharType="end"/>
    </w:r>
  </w:p>
  <w:p w14:paraId="32D914B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14B1">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32D914B2">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754"/>
        </w:tabs>
        <w:ind w:left="754" w:hanging="737"/>
      </w:pPr>
      <w:rPr>
        <w:rFonts w:hint="default"/>
      </w:rPr>
    </w:lvl>
    <w:lvl w:ilvl="1" w:tentative="0">
      <w:start w:val="1"/>
      <w:numFmt w:val="decimalZero"/>
      <w:pStyle w:val="3"/>
      <w:lvlText w:val="%1.%2"/>
      <w:lvlJc w:val="left"/>
      <w:pPr>
        <w:tabs>
          <w:tab w:val="left" w:pos="720"/>
        </w:tabs>
        <w:ind w:left="720" w:hanging="720"/>
      </w:pPr>
      <w:rPr>
        <w:rFonts w:hint="default"/>
        <w:b/>
        <w:i w:val="0"/>
      </w:rPr>
    </w:lvl>
    <w:lvl w:ilvl="2" w:tentative="0">
      <w:start w:val="1"/>
      <w:numFmt w:val="lowerLetter"/>
      <w:pStyle w:val="4"/>
      <w:lvlText w:val="(%3)"/>
      <w:lvlJc w:val="left"/>
      <w:pPr>
        <w:tabs>
          <w:tab w:val="left" w:pos="1440"/>
        </w:tabs>
        <w:ind w:left="1440" w:hanging="720"/>
      </w:pPr>
      <w:rPr>
        <w:rFonts w:hint="default"/>
      </w:rPr>
    </w:lvl>
    <w:lvl w:ilvl="3" w:tentative="0">
      <w:start w:val="1"/>
      <w:numFmt w:val="lowerRoman"/>
      <w:pStyle w:val="5"/>
      <w:lvlText w:val="(%4)"/>
      <w:lvlJc w:val="left"/>
      <w:pPr>
        <w:tabs>
          <w:tab w:val="left" w:pos="2160"/>
        </w:tabs>
        <w:ind w:left="2160" w:hanging="720"/>
      </w:pPr>
      <w:rPr>
        <w:rFonts w:hint="default"/>
      </w:rPr>
    </w:lvl>
    <w:lvl w:ilvl="4" w:tentative="0">
      <w:start w:val="1"/>
      <w:numFmt w:val="decimal"/>
      <w:pStyle w:val="6"/>
      <w:lvlText w:val="(%5)"/>
      <w:lvlJc w:val="left"/>
      <w:pPr>
        <w:tabs>
          <w:tab w:val="left" w:pos="2880"/>
        </w:tabs>
        <w:ind w:left="2880" w:hanging="720"/>
      </w:pPr>
      <w:rPr>
        <w:rFonts w:hint="default"/>
        <w:sz w:val="22"/>
      </w:rPr>
    </w:lvl>
    <w:lvl w:ilvl="5" w:tentative="0">
      <w:start w:val="1"/>
      <w:numFmt w:val="lowerRoman"/>
      <w:pStyle w:val="7"/>
      <w:lvlText w:val="(%6)"/>
      <w:lvlJc w:val="left"/>
      <w:pPr>
        <w:tabs>
          <w:tab w:val="left" w:pos="17"/>
        </w:tabs>
        <w:ind w:left="4337" w:hanging="737"/>
      </w:pPr>
      <w:rPr>
        <w:rFonts w:hint="default"/>
      </w:rPr>
    </w:lvl>
    <w:lvl w:ilvl="6" w:tentative="0">
      <w:start w:val="1"/>
      <w:numFmt w:val="decimal"/>
      <w:pStyle w:val="8"/>
      <w:lvlText w:val="(%7)"/>
      <w:lvlJc w:val="left"/>
      <w:pPr>
        <w:tabs>
          <w:tab w:val="left" w:pos="17"/>
        </w:tabs>
        <w:ind w:left="5057" w:hanging="737"/>
      </w:pPr>
      <w:rPr>
        <w:rFonts w:hint="default"/>
      </w:rPr>
    </w:lvl>
    <w:lvl w:ilvl="7" w:tentative="0">
      <w:start w:val="1"/>
      <w:numFmt w:val="none"/>
      <w:pStyle w:val="9"/>
      <w:suff w:val="nothing"/>
      <w:lvlText w:val=""/>
      <w:lvlJc w:val="left"/>
      <w:pPr>
        <w:ind w:left="17" w:hanging="720"/>
      </w:pPr>
      <w:rPr>
        <w:rFonts w:hint="default"/>
      </w:rPr>
    </w:lvl>
    <w:lvl w:ilvl="8" w:tentative="0">
      <w:start w:val="1"/>
      <w:numFmt w:val="none"/>
      <w:pStyle w:val="10"/>
      <w:suff w:val="nothing"/>
      <w:lvlText w:val=""/>
      <w:lvlJc w:val="left"/>
      <w:pPr>
        <w:ind w:left="17"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sDQxNzY0NjEyNbdU0lEKTi0uzszPAykwqgUADNEznCwAAAA="/>
  </w:docVars>
  <w:rsids>
    <w:rsidRoot w:val="009D0DE2"/>
    <w:rsid w:val="00000000"/>
    <w:rsid w:val="00002853"/>
    <w:rsid w:val="000110C8"/>
    <w:rsid w:val="00012853"/>
    <w:rsid w:val="00015A38"/>
    <w:rsid w:val="000206A2"/>
    <w:rsid w:val="000221DA"/>
    <w:rsid w:val="00022843"/>
    <w:rsid w:val="00023026"/>
    <w:rsid w:val="000239DA"/>
    <w:rsid w:val="000245A9"/>
    <w:rsid w:val="00024BD1"/>
    <w:rsid w:val="0002632D"/>
    <w:rsid w:val="00031135"/>
    <w:rsid w:val="00036FAA"/>
    <w:rsid w:val="0003779E"/>
    <w:rsid w:val="00037CC4"/>
    <w:rsid w:val="00041FEB"/>
    <w:rsid w:val="0004388C"/>
    <w:rsid w:val="0004556C"/>
    <w:rsid w:val="00052F56"/>
    <w:rsid w:val="00055AF1"/>
    <w:rsid w:val="00056F31"/>
    <w:rsid w:val="000615D9"/>
    <w:rsid w:val="0006377E"/>
    <w:rsid w:val="000638FB"/>
    <w:rsid w:val="000663CF"/>
    <w:rsid w:val="00072CF1"/>
    <w:rsid w:val="000735AF"/>
    <w:rsid w:val="00074285"/>
    <w:rsid w:val="00075940"/>
    <w:rsid w:val="00075B91"/>
    <w:rsid w:val="0007775E"/>
    <w:rsid w:val="000801E4"/>
    <w:rsid w:val="00081FF9"/>
    <w:rsid w:val="00084258"/>
    <w:rsid w:val="00085044"/>
    <w:rsid w:val="00091BD2"/>
    <w:rsid w:val="00092E06"/>
    <w:rsid w:val="000A03B4"/>
    <w:rsid w:val="000A141F"/>
    <w:rsid w:val="000A275D"/>
    <w:rsid w:val="000A34B7"/>
    <w:rsid w:val="000B0F9C"/>
    <w:rsid w:val="000B11ED"/>
    <w:rsid w:val="000B2C86"/>
    <w:rsid w:val="000B7251"/>
    <w:rsid w:val="000B73A7"/>
    <w:rsid w:val="000C2270"/>
    <w:rsid w:val="000C5791"/>
    <w:rsid w:val="000C5C90"/>
    <w:rsid w:val="000D2C83"/>
    <w:rsid w:val="000D40A0"/>
    <w:rsid w:val="000D6279"/>
    <w:rsid w:val="000E1907"/>
    <w:rsid w:val="000E244A"/>
    <w:rsid w:val="000E289D"/>
    <w:rsid w:val="000E70CA"/>
    <w:rsid w:val="000F4B4A"/>
    <w:rsid w:val="00102004"/>
    <w:rsid w:val="001036C0"/>
    <w:rsid w:val="0010481E"/>
    <w:rsid w:val="00106266"/>
    <w:rsid w:val="00106A5A"/>
    <w:rsid w:val="0010730C"/>
    <w:rsid w:val="001141DA"/>
    <w:rsid w:val="00116DB4"/>
    <w:rsid w:val="00117DB2"/>
    <w:rsid w:val="00124D36"/>
    <w:rsid w:val="00127A12"/>
    <w:rsid w:val="00130E73"/>
    <w:rsid w:val="00131C62"/>
    <w:rsid w:val="001335A1"/>
    <w:rsid w:val="00133ABC"/>
    <w:rsid w:val="00141E13"/>
    <w:rsid w:val="00143972"/>
    <w:rsid w:val="00146FCB"/>
    <w:rsid w:val="0015266B"/>
    <w:rsid w:val="00164532"/>
    <w:rsid w:val="00164906"/>
    <w:rsid w:val="001676CC"/>
    <w:rsid w:val="001703A2"/>
    <w:rsid w:val="001728EC"/>
    <w:rsid w:val="00174EF0"/>
    <w:rsid w:val="00175960"/>
    <w:rsid w:val="00175B86"/>
    <w:rsid w:val="00176571"/>
    <w:rsid w:val="00177427"/>
    <w:rsid w:val="00180C2D"/>
    <w:rsid w:val="00182D6D"/>
    <w:rsid w:val="00185127"/>
    <w:rsid w:val="0018668A"/>
    <w:rsid w:val="00192877"/>
    <w:rsid w:val="00193843"/>
    <w:rsid w:val="001A0FE4"/>
    <w:rsid w:val="001A12C8"/>
    <w:rsid w:val="001A1A50"/>
    <w:rsid w:val="001A71AC"/>
    <w:rsid w:val="001B3B96"/>
    <w:rsid w:val="001B3CEF"/>
    <w:rsid w:val="001B7C27"/>
    <w:rsid w:val="001C1D4A"/>
    <w:rsid w:val="001C67C0"/>
    <w:rsid w:val="001D388A"/>
    <w:rsid w:val="001D454D"/>
    <w:rsid w:val="001E17ED"/>
    <w:rsid w:val="001E4E50"/>
    <w:rsid w:val="001F7201"/>
    <w:rsid w:val="001F7698"/>
    <w:rsid w:val="002032D1"/>
    <w:rsid w:val="00205451"/>
    <w:rsid w:val="00205B3A"/>
    <w:rsid w:val="0021446C"/>
    <w:rsid w:val="00216400"/>
    <w:rsid w:val="002175DE"/>
    <w:rsid w:val="00220519"/>
    <w:rsid w:val="0023001F"/>
    <w:rsid w:val="00230642"/>
    <w:rsid w:val="00231EB4"/>
    <w:rsid w:val="0023665D"/>
    <w:rsid w:val="00236876"/>
    <w:rsid w:val="00236C83"/>
    <w:rsid w:val="00242D3A"/>
    <w:rsid w:val="00243CA2"/>
    <w:rsid w:val="002452E2"/>
    <w:rsid w:val="002476CA"/>
    <w:rsid w:val="00247EC4"/>
    <w:rsid w:val="00251C68"/>
    <w:rsid w:val="0025399D"/>
    <w:rsid w:val="0025524F"/>
    <w:rsid w:val="00257907"/>
    <w:rsid w:val="002607EF"/>
    <w:rsid w:val="00262BDA"/>
    <w:rsid w:val="0027125A"/>
    <w:rsid w:val="00272A52"/>
    <w:rsid w:val="00275C87"/>
    <w:rsid w:val="002767A7"/>
    <w:rsid w:val="00283467"/>
    <w:rsid w:val="0028555A"/>
    <w:rsid w:val="0029019C"/>
    <w:rsid w:val="00293248"/>
    <w:rsid w:val="002941F4"/>
    <w:rsid w:val="00296E48"/>
    <w:rsid w:val="002A18C8"/>
    <w:rsid w:val="002B7B5E"/>
    <w:rsid w:val="002C015D"/>
    <w:rsid w:val="002C0461"/>
    <w:rsid w:val="002C2054"/>
    <w:rsid w:val="002C30E3"/>
    <w:rsid w:val="002C57AB"/>
    <w:rsid w:val="002C6D97"/>
    <w:rsid w:val="002C7E05"/>
    <w:rsid w:val="002D06D0"/>
    <w:rsid w:val="002D1AD2"/>
    <w:rsid w:val="002D2DD3"/>
    <w:rsid w:val="002D35D9"/>
    <w:rsid w:val="002D4DA4"/>
    <w:rsid w:val="002D6E3A"/>
    <w:rsid w:val="002E0A69"/>
    <w:rsid w:val="002E13DB"/>
    <w:rsid w:val="002E3D38"/>
    <w:rsid w:val="002E45F9"/>
    <w:rsid w:val="002E5844"/>
    <w:rsid w:val="002F45ED"/>
    <w:rsid w:val="002F63FF"/>
    <w:rsid w:val="003011B5"/>
    <w:rsid w:val="003034E7"/>
    <w:rsid w:val="00304273"/>
    <w:rsid w:val="00304377"/>
    <w:rsid w:val="00305982"/>
    <w:rsid w:val="00307DBB"/>
    <w:rsid w:val="00310071"/>
    <w:rsid w:val="003111C8"/>
    <w:rsid w:val="00311970"/>
    <w:rsid w:val="00324BCA"/>
    <w:rsid w:val="00325386"/>
    <w:rsid w:val="00325F3E"/>
    <w:rsid w:val="00326950"/>
    <w:rsid w:val="00327395"/>
    <w:rsid w:val="00327AA5"/>
    <w:rsid w:val="00333E48"/>
    <w:rsid w:val="00335270"/>
    <w:rsid w:val="00336292"/>
    <w:rsid w:val="00341047"/>
    <w:rsid w:val="00342138"/>
    <w:rsid w:val="003457DF"/>
    <w:rsid w:val="003523A8"/>
    <w:rsid w:val="00354136"/>
    <w:rsid w:val="003548BA"/>
    <w:rsid w:val="00354B9B"/>
    <w:rsid w:val="00354D69"/>
    <w:rsid w:val="00356A76"/>
    <w:rsid w:val="0037147C"/>
    <w:rsid w:val="00376ABF"/>
    <w:rsid w:val="003772BB"/>
    <w:rsid w:val="0037734E"/>
    <w:rsid w:val="00383013"/>
    <w:rsid w:val="0038402A"/>
    <w:rsid w:val="00384D8A"/>
    <w:rsid w:val="00385C66"/>
    <w:rsid w:val="003870CC"/>
    <w:rsid w:val="00392DBE"/>
    <w:rsid w:val="00393088"/>
    <w:rsid w:val="00395101"/>
    <w:rsid w:val="003A28BD"/>
    <w:rsid w:val="003A7338"/>
    <w:rsid w:val="003B0A22"/>
    <w:rsid w:val="003B0C68"/>
    <w:rsid w:val="003B7CD4"/>
    <w:rsid w:val="003C2A7D"/>
    <w:rsid w:val="003C399D"/>
    <w:rsid w:val="003C4407"/>
    <w:rsid w:val="003C46DE"/>
    <w:rsid w:val="003C6103"/>
    <w:rsid w:val="003C7B86"/>
    <w:rsid w:val="003D2513"/>
    <w:rsid w:val="003D56B4"/>
    <w:rsid w:val="003D7BE1"/>
    <w:rsid w:val="003D7F18"/>
    <w:rsid w:val="003E4443"/>
    <w:rsid w:val="003F3177"/>
    <w:rsid w:val="003F364C"/>
    <w:rsid w:val="003F4911"/>
    <w:rsid w:val="003F6A9F"/>
    <w:rsid w:val="00402022"/>
    <w:rsid w:val="00406B9C"/>
    <w:rsid w:val="00410ABB"/>
    <w:rsid w:val="004111CF"/>
    <w:rsid w:val="0041468E"/>
    <w:rsid w:val="004169AF"/>
    <w:rsid w:val="004207CD"/>
    <w:rsid w:val="00420F79"/>
    <w:rsid w:val="00421BF8"/>
    <w:rsid w:val="004226FF"/>
    <w:rsid w:val="0042670E"/>
    <w:rsid w:val="00426CF5"/>
    <w:rsid w:val="0042753F"/>
    <w:rsid w:val="00427794"/>
    <w:rsid w:val="00431FB0"/>
    <w:rsid w:val="0043319D"/>
    <w:rsid w:val="0043454C"/>
    <w:rsid w:val="004347A4"/>
    <w:rsid w:val="00442BB6"/>
    <w:rsid w:val="0044399C"/>
    <w:rsid w:val="004455AC"/>
    <w:rsid w:val="00447F7B"/>
    <w:rsid w:val="00450893"/>
    <w:rsid w:val="00451FF9"/>
    <w:rsid w:val="00454DEF"/>
    <w:rsid w:val="00457523"/>
    <w:rsid w:val="0046579B"/>
    <w:rsid w:val="004672C3"/>
    <w:rsid w:val="0047013D"/>
    <w:rsid w:val="00470F48"/>
    <w:rsid w:val="00472F33"/>
    <w:rsid w:val="004750EC"/>
    <w:rsid w:val="00475186"/>
    <w:rsid w:val="004849EF"/>
    <w:rsid w:val="00485D22"/>
    <w:rsid w:val="0049014E"/>
    <w:rsid w:val="00490FDA"/>
    <w:rsid w:val="004954AF"/>
    <w:rsid w:val="00495E64"/>
    <w:rsid w:val="00495EF9"/>
    <w:rsid w:val="0049670D"/>
    <w:rsid w:val="004971CD"/>
    <w:rsid w:val="004A076A"/>
    <w:rsid w:val="004A2F4C"/>
    <w:rsid w:val="004A54DB"/>
    <w:rsid w:val="004A73BD"/>
    <w:rsid w:val="004B17AB"/>
    <w:rsid w:val="004B1C51"/>
    <w:rsid w:val="004B2324"/>
    <w:rsid w:val="004B35A0"/>
    <w:rsid w:val="004B3DBB"/>
    <w:rsid w:val="004B4848"/>
    <w:rsid w:val="004C196A"/>
    <w:rsid w:val="004C47AE"/>
    <w:rsid w:val="004C4C09"/>
    <w:rsid w:val="004D2E9A"/>
    <w:rsid w:val="004D43E6"/>
    <w:rsid w:val="004D6463"/>
    <w:rsid w:val="004E03C7"/>
    <w:rsid w:val="004E203A"/>
    <w:rsid w:val="004E2B0C"/>
    <w:rsid w:val="004E2FEF"/>
    <w:rsid w:val="004E4530"/>
    <w:rsid w:val="004E6856"/>
    <w:rsid w:val="004E6E6E"/>
    <w:rsid w:val="004F199D"/>
    <w:rsid w:val="004F227F"/>
    <w:rsid w:val="004F6176"/>
    <w:rsid w:val="004F6506"/>
    <w:rsid w:val="004F79D3"/>
    <w:rsid w:val="00500FD9"/>
    <w:rsid w:val="005052A5"/>
    <w:rsid w:val="0050E42A"/>
    <w:rsid w:val="0051203A"/>
    <w:rsid w:val="005129AF"/>
    <w:rsid w:val="00517586"/>
    <w:rsid w:val="00524158"/>
    <w:rsid w:val="005241AF"/>
    <w:rsid w:val="005258A1"/>
    <w:rsid w:val="00530236"/>
    <w:rsid w:val="00534B57"/>
    <w:rsid w:val="00537B9B"/>
    <w:rsid w:val="0054384D"/>
    <w:rsid w:val="00550956"/>
    <w:rsid w:val="005513B4"/>
    <w:rsid w:val="005514FD"/>
    <w:rsid w:val="00554984"/>
    <w:rsid w:val="00554EEC"/>
    <w:rsid w:val="00557001"/>
    <w:rsid w:val="00560822"/>
    <w:rsid w:val="00560BD3"/>
    <w:rsid w:val="00560D6E"/>
    <w:rsid w:val="00560D8D"/>
    <w:rsid w:val="00564DDB"/>
    <w:rsid w:val="00566136"/>
    <w:rsid w:val="005662A5"/>
    <w:rsid w:val="00570D8A"/>
    <w:rsid w:val="00573BFA"/>
    <w:rsid w:val="00573EFB"/>
    <w:rsid w:val="00577A65"/>
    <w:rsid w:val="00586212"/>
    <w:rsid w:val="00587005"/>
    <w:rsid w:val="00590615"/>
    <w:rsid w:val="005916B8"/>
    <w:rsid w:val="00591875"/>
    <w:rsid w:val="00591945"/>
    <w:rsid w:val="00592DA2"/>
    <w:rsid w:val="00594E30"/>
    <w:rsid w:val="00596F86"/>
    <w:rsid w:val="00597DDE"/>
    <w:rsid w:val="005A1CD2"/>
    <w:rsid w:val="005A360B"/>
    <w:rsid w:val="005A3B46"/>
    <w:rsid w:val="005B249F"/>
    <w:rsid w:val="005B5EC5"/>
    <w:rsid w:val="005B75DF"/>
    <w:rsid w:val="005D0CB8"/>
    <w:rsid w:val="005D12E3"/>
    <w:rsid w:val="005D3E5A"/>
    <w:rsid w:val="005D423D"/>
    <w:rsid w:val="005D4494"/>
    <w:rsid w:val="005E271B"/>
    <w:rsid w:val="005E39B8"/>
    <w:rsid w:val="005E5A8F"/>
    <w:rsid w:val="005E6959"/>
    <w:rsid w:val="005E7C2D"/>
    <w:rsid w:val="005F4D5F"/>
    <w:rsid w:val="005F51F9"/>
    <w:rsid w:val="005F5763"/>
    <w:rsid w:val="005F6251"/>
    <w:rsid w:val="006007AF"/>
    <w:rsid w:val="00602EB0"/>
    <w:rsid w:val="00603841"/>
    <w:rsid w:val="00603B28"/>
    <w:rsid w:val="006105D9"/>
    <w:rsid w:val="00612798"/>
    <w:rsid w:val="00616132"/>
    <w:rsid w:val="00623B45"/>
    <w:rsid w:val="006248B0"/>
    <w:rsid w:val="00634092"/>
    <w:rsid w:val="00636648"/>
    <w:rsid w:val="00637FB2"/>
    <w:rsid w:val="00643276"/>
    <w:rsid w:val="00645D9C"/>
    <w:rsid w:val="00646334"/>
    <w:rsid w:val="00647959"/>
    <w:rsid w:val="00652C40"/>
    <w:rsid w:val="00653FF6"/>
    <w:rsid w:val="006551BC"/>
    <w:rsid w:val="00665A23"/>
    <w:rsid w:val="006708F1"/>
    <w:rsid w:val="00671AD8"/>
    <w:rsid w:val="00672E30"/>
    <w:rsid w:val="00674025"/>
    <w:rsid w:val="006761E2"/>
    <w:rsid w:val="00681986"/>
    <w:rsid w:val="00682823"/>
    <w:rsid w:val="00682982"/>
    <w:rsid w:val="00684B6F"/>
    <w:rsid w:val="00685EB4"/>
    <w:rsid w:val="0068637C"/>
    <w:rsid w:val="006872F5"/>
    <w:rsid w:val="00693FB7"/>
    <w:rsid w:val="00695349"/>
    <w:rsid w:val="006976D0"/>
    <w:rsid w:val="00697E8F"/>
    <w:rsid w:val="006A4259"/>
    <w:rsid w:val="006A49CD"/>
    <w:rsid w:val="006A4D6B"/>
    <w:rsid w:val="006B1A5C"/>
    <w:rsid w:val="006B3F55"/>
    <w:rsid w:val="006C0BDA"/>
    <w:rsid w:val="006C7DF8"/>
    <w:rsid w:val="006D1129"/>
    <w:rsid w:val="006D51B1"/>
    <w:rsid w:val="006E19A3"/>
    <w:rsid w:val="006E7EBC"/>
    <w:rsid w:val="006F1735"/>
    <w:rsid w:val="006F1BDD"/>
    <w:rsid w:val="006F2B84"/>
    <w:rsid w:val="006F7617"/>
    <w:rsid w:val="00707C14"/>
    <w:rsid w:val="0071025A"/>
    <w:rsid w:val="00710BCB"/>
    <w:rsid w:val="007114BB"/>
    <w:rsid w:val="00711B5E"/>
    <w:rsid w:val="00711FF0"/>
    <w:rsid w:val="00714169"/>
    <w:rsid w:val="007162F4"/>
    <w:rsid w:val="007166C5"/>
    <w:rsid w:val="00720A15"/>
    <w:rsid w:val="00721427"/>
    <w:rsid w:val="00726445"/>
    <w:rsid w:val="007311A4"/>
    <w:rsid w:val="00735856"/>
    <w:rsid w:val="0073596F"/>
    <w:rsid w:val="00736FE2"/>
    <w:rsid w:val="0074056C"/>
    <w:rsid w:val="00742ED7"/>
    <w:rsid w:val="00745B5F"/>
    <w:rsid w:val="007527C1"/>
    <w:rsid w:val="00753513"/>
    <w:rsid w:val="007539F7"/>
    <w:rsid w:val="00754DBD"/>
    <w:rsid w:val="00755016"/>
    <w:rsid w:val="00755D16"/>
    <w:rsid w:val="007602FE"/>
    <w:rsid w:val="00763E0E"/>
    <w:rsid w:val="00765E03"/>
    <w:rsid w:val="00770928"/>
    <w:rsid w:val="00773ACB"/>
    <w:rsid w:val="00773B3F"/>
    <w:rsid w:val="00773BB6"/>
    <w:rsid w:val="007779C4"/>
    <w:rsid w:val="00780286"/>
    <w:rsid w:val="0078295D"/>
    <w:rsid w:val="00785998"/>
    <w:rsid w:val="00786B28"/>
    <w:rsid w:val="00795F58"/>
    <w:rsid w:val="00797B42"/>
    <w:rsid w:val="007A03DF"/>
    <w:rsid w:val="007A36D2"/>
    <w:rsid w:val="007A7CD2"/>
    <w:rsid w:val="007B28CC"/>
    <w:rsid w:val="007B5B0C"/>
    <w:rsid w:val="007C3644"/>
    <w:rsid w:val="007C4412"/>
    <w:rsid w:val="007C4EAE"/>
    <w:rsid w:val="007C69BF"/>
    <w:rsid w:val="007D1DB3"/>
    <w:rsid w:val="007D1EB9"/>
    <w:rsid w:val="007E06C0"/>
    <w:rsid w:val="007E13BB"/>
    <w:rsid w:val="007E1E71"/>
    <w:rsid w:val="007F0144"/>
    <w:rsid w:val="007F1758"/>
    <w:rsid w:val="007F27C4"/>
    <w:rsid w:val="007F2E1D"/>
    <w:rsid w:val="008008AD"/>
    <w:rsid w:val="00810AA1"/>
    <w:rsid w:val="00813B74"/>
    <w:rsid w:val="00817995"/>
    <w:rsid w:val="0082419A"/>
    <w:rsid w:val="00827019"/>
    <w:rsid w:val="0083002F"/>
    <w:rsid w:val="00830F91"/>
    <w:rsid w:val="00834CAB"/>
    <w:rsid w:val="008378B2"/>
    <w:rsid w:val="00840105"/>
    <w:rsid w:val="00841AAA"/>
    <w:rsid w:val="00842C54"/>
    <w:rsid w:val="008447A5"/>
    <w:rsid w:val="00852DB1"/>
    <w:rsid w:val="00862107"/>
    <w:rsid w:val="00871BB7"/>
    <w:rsid w:val="00873DB1"/>
    <w:rsid w:val="00876957"/>
    <w:rsid w:val="00877A87"/>
    <w:rsid w:val="008807B7"/>
    <w:rsid w:val="008826D6"/>
    <w:rsid w:val="00882C54"/>
    <w:rsid w:val="00892913"/>
    <w:rsid w:val="0089305A"/>
    <w:rsid w:val="00894066"/>
    <w:rsid w:val="00896F8F"/>
    <w:rsid w:val="008A0520"/>
    <w:rsid w:val="008A0894"/>
    <w:rsid w:val="008A2018"/>
    <w:rsid w:val="008A4EEB"/>
    <w:rsid w:val="008A7968"/>
    <w:rsid w:val="008A7B5D"/>
    <w:rsid w:val="008B1E08"/>
    <w:rsid w:val="008B21F1"/>
    <w:rsid w:val="008B7722"/>
    <w:rsid w:val="008C0EE5"/>
    <w:rsid w:val="008C275B"/>
    <w:rsid w:val="008C48BE"/>
    <w:rsid w:val="008C7056"/>
    <w:rsid w:val="008D7184"/>
    <w:rsid w:val="008E2876"/>
    <w:rsid w:val="008E2B23"/>
    <w:rsid w:val="008E4BB8"/>
    <w:rsid w:val="008F11D0"/>
    <w:rsid w:val="009009D5"/>
    <w:rsid w:val="00904E95"/>
    <w:rsid w:val="00905C8B"/>
    <w:rsid w:val="00906C4C"/>
    <w:rsid w:val="009072CB"/>
    <w:rsid w:val="00910F05"/>
    <w:rsid w:val="009118EC"/>
    <w:rsid w:val="00913C6C"/>
    <w:rsid w:val="0091437C"/>
    <w:rsid w:val="00920095"/>
    <w:rsid w:val="00920D8F"/>
    <w:rsid w:val="009215FF"/>
    <w:rsid w:val="009231A3"/>
    <w:rsid w:val="00925D64"/>
    <w:rsid w:val="00926CC8"/>
    <w:rsid w:val="00927AA2"/>
    <w:rsid w:val="00931039"/>
    <w:rsid w:val="00934040"/>
    <w:rsid w:val="00936BA7"/>
    <w:rsid w:val="009464A6"/>
    <w:rsid w:val="00946A49"/>
    <w:rsid w:val="009477F6"/>
    <w:rsid w:val="00957FAA"/>
    <w:rsid w:val="00960590"/>
    <w:rsid w:val="00960CC6"/>
    <w:rsid w:val="00963103"/>
    <w:rsid w:val="00964480"/>
    <w:rsid w:val="00965683"/>
    <w:rsid w:val="009672CB"/>
    <w:rsid w:val="009741C1"/>
    <w:rsid w:val="00974EBC"/>
    <w:rsid w:val="00974F56"/>
    <w:rsid w:val="009751FA"/>
    <w:rsid w:val="00980A56"/>
    <w:rsid w:val="00981016"/>
    <w:rsid w:val="00985B92"/>
    <w:rsid w:val="0098718D"/>
    <w:rsid w:val="0098736A"/>
    <w:rsid w:val="0099093D"/>
    <w:rsid w:val="00990B38"/>
    <w:rsid w:val="00994DD9"/>
    <w:rsid w:val="0099645F"/>
    <w:rsid w:val="00996F8F"/>
    <w:rsid w:val="00997147"/>
    <w:rsid w:val="00997306"/>
    <w:rsid w:val="009A0065"/>
    <w:rsid w:val="009A10D4"/>
    <w:rsid w:val="009A191A"/>
    <w:rsid w:val="009A48E3"/>
    <w:rsid w:val="009A4A71"/>
    <w:rsid w:val="009A4C51"/>
    <w:rsid w:val="009A6A33"/>
    <w:rsid w:val="009A7206"/>
    <w:rsid w:val="009B12D6"/>
    <w:rsid w:val="009B3543"/>
    <w:rsid w:val="009B35FC"/>
    <w:rsid w:val="009B4C16"/>
    <w:rsid w:val="009B63FC"/>
    <w:rsid w:val="009B6E9B"/>
    <w:rsid w:val="009B7CD4"/>
    <w:rsid w:val="009C0B7E"/>
    <w:rsid w:val="009D013C"/>
    <w:rsid w:val="009D0DE2"/>
    <w:rsid w:val="009D0F19"/>
    <w:rsid w:val="009D1A06"/>
    <w:rsid w:val="009D2924"/>
    <w:rsid w:val="009D4825"/>
    <w:rsid w:val="009E107C"/>
    <w:rsid w:val="009E27A2"/>
    <w:rsid w:val="009E2C11"/>
    <w:rsid w:val="009E7056"/>
    <w:rsid w:val="009E7DCB"/>
    <w:rsid w:val="009F014D"/>
    <w:rsid w:val="009F2ACF"/>
    <w:rsid w:val="009F30B4"/>
    <w:rsid w:val="009F63EE"/>
    <w:rsid w:val="00A002DE"/>
    <w:rsid w:val="00A03677"/>
    <w:rsid w:val="00A06E91"/>
    <w:rsid w:val="00A0735F"/>
    <w:rsid w:val="00A07B62"/>
    <w:rsid w:val="00A11685"/>
    <w:rsid w:val="00A12CB4"/>
    <w:rsid w:val="00A146F8"/>
    <w:rsid w:val="00A14A70"/>
    <w:rsid w:val="00A1791C"/>
    <w:rsid w:val="00A20480"/>
    <w:rsid w:val="00A20826"/>
    <w:rsid w:val="00A24019"/>
    <w:rsid w:val="00A250CE"/>
    <w:rsid w:val="00A27AA1"/>
    <w:rsid w:val="00A3009E"/>
    <w:rsid w:val="00A315AC"/>
    <w:rsid w:val="00A35521"/>
    <w:rsid w:val="00A3719E"/>
    <w:rsid w:val="00A437F4"/>
    <w:rsid w:val="00A46B85"/>
    <w:rsid w:val="00A52085"/>
    <w:rsid w:val="00A5361A"/>
    <w:rsid w:val="00A54546"/>
    <w:rsid w:val="00A54A8B"/>
    <w:rsid w:val="00A57217"/>
    <w:rsid w:val="00A57C24"/>
    <w:rsid w:val="00A6471A"/>
    <w:rsid w:val="00A64E6E"/>
    <w:rsid w:val="00A65674"/>
    <w:rsid w:val="00A7381B"/>
    <w:rsid w:val="00A77C74"/>
    <w:rsid w:val="00A80609"/>
    <w:rsid w:val="00A81702"/>
    <w:rsid w:val="00A82ABC"/>
    <w:rsid w:val="00A847DD"/>
    <w:rsid w:val="00A856CC"/>
    <w:rsid w:val="00A85748"/>
    <w:rsid w:val="00A85FEC"/>
    <w:rsid w:val="00A87723"/>
    <w:rsid w:val="00A87D6B"/>
    <w:rsid w:val="00A96F67"/>
    <w:rsid w:val="00A97A2C"/>
    <w:rsid w:val="00AA07B4"/>
    <w:rsid w:val="00AA37B3"/>
    <w:rsid w:val="00AB32EE"/>
    <w:rsid w:val="00AB4A84"/>
    <w:rsid w:val="00AB5BD5"/>
    <w:rsid w:val="00AC0039"/>
    <w:rsid w:val="00AC59B2"/>
    <w:rsid w:val="00AC6C41"/>
    <w:rsid w:val="00AD1019"/>
    <w:rsid w:val="00AD2F7D"/>
    <w:rsid w:val="00AD5992"/>
    <w:rsid w:val="00AE1FBC"/>
    <w:rsid w:val="00AF13A9"/>
    <w:rsid w:val="00AF2EC2"/>
    <w:rsid w:val="00AF3C70"/>
    <w:rsid w:val="00AF5A9E"/>
    <w:rsid w:val="00B032D2"/>
    <w:rsid w:val="00B03DE4"/>
    <w:rsid w:val="00B04A93"/>
    <w:rsid w:val="00B25209"/>
    <w:rsid w:val="00B32991"/>
    <w:rsid w:val="00B3319E"/>
    <w:rsid w:val="00B3424D"/>
    <w:rsid w:val="00B343C4"/>
    <w:rsid w:val="00B346FC"/>
    <w:rsid w:val="00B433CA"/>
    <w:rsid w:val="00B43B20"/>
    <w:rsid w:val="00B51F61"/>
    <w:rsid w:val="00B54480"/>
    <w:rsid w:val="00B56968"/>
    <w:rsid w:val="00B573C3"/>
    <w:rsid w:val="00B6493E"/>
    <w:rsid w:val="00B652AA"/>
    <w:rsid w:val="00B66C33"/>
    <w:rsid w:val="00B67F4E"/>
    <w:rsid w:val="00B72311"/>
    <w:rsid w:val="00B74B50"/>
    <w:rsid w:val="00B7605D"/>
    <w:rsid w:val="00B76658"/>
    <w:rsid w:val="00B767E1"/>
    <w:rsid w:val="00B77869"/>
    <w:rsid w:val="00B8583A"/>
    <w:rsid w:val="00B86A72"/>
    <w:rsid w:val="00B87E38"/>
    <w:rsid w:val="00B94954"/>
    <w:rsid w:val="00B95B5D"/>
    <w:rsid w:val="00BA02A7"/>
    <w:rsid w:val="00BA1D1A"/>
    <w:rsid w:val="00BA2C5D"/>
    <w:rsid w:val="00BA3E9C"/>
    <w:rsid w:val="00BA44A8"/>
    <w:rsid w:val="00BA4790"/>
    <w:rsid w:val="00BA5608"/>
    <w:rsid w:val="00BB271F"/>
    <w:rsid w:val="00BB49F3"/>
    <w:rsid w:val="00BB51C4"/>
    <w:rsid w:val="00BB6DEA"/>
    <w:rsid w:val="00BB6E53"/>
    <w:rsid w:val="00BC1245"/>
    <w:rsid w:val="00BC59C1"/>
    <w:rsid w:val="00BC634E"/>
    <w:rsid w:val="00BC6864"/>
    <w:rsid w:val="00BD06FF"/>
    <w:rsid w:val="00BD0EDD"/>
    <w:rsid w:val="00BD48B6"/>
    <w:rsid w:val="00BD742B"/>
    <w:rsid w:val="00BD74F5"/>
    <w:rsid w:val="00BE11FB"/>
    <w:rsid w:val="00BE120D"/>
    <w:rsid w:val="00BE73F3"/>
    <w:rsid w:val="00BF12A3"/>
    <w:rsid w:val="00BF1CB1"/>
    <w:rsid w:val="00BF2D7E"/>
    <w:rsid w:val="00BF5510"/>
    <w:rsid w:val="00C022E8"/>
    <w:rsid w:val="00C0434E"/>
    <w:rsid w:val="00C0694E"/>
    <w:rsid w:val="00C10CA5"/>
    <w:rsid w:val="00C10DC8"/>
    <w:rsid w:val="00C11F96"/>
    <w:rsid w:val="00C142B0"/>
    <w:rsid w:val="00C17966"/>
    <w:rsid w:val="00C2493B"/>
    <w:rsid w:val="00C25B87"/>
    <w:rsid w:val="00C27205"/>
    <w:rsid w:val="00C30B68"/>
    <w:rsid w:val="00C31B9E"/>
    <w:rsid w:val="00C32B27"/>
    <w:rsid w:val="00C32F0F"/>
    <w:rsid w:val="00C3308C"/>
    <w:rsid w:val="00C33724"/>
    <w:rsid w:val="00C351D1"/>
    <w:rsid w:val="00C3594E"/>
    <w:rsid w:val="00C37506"/>
    <w:rsid w:val="00C439B0"/>
    <w:rsid w:val="00C444A8"/>
    <w:rsid w:val="00C449A6"/>
    <w:rsid w:val="00C4511F"/>
    <w:rsid w:val="00C460AF"/>
    <w:rsid w:val="00C464D8"/>
    <w:rsid w:val="00C502EC"/>
    <w:rsid w:val="00C51922"/>
    <w:rsid w:val="00C534E0"/>
    <w:rsid w:val="00C54BA1"/>
    <w:rsid w:val="00C567C7"/>
    <w:rsid w:val="00C63739"/>
    <w:rsid w:val="00C6375D"/>
    <w:rsid w:val="00C66D46"/>
    <w:rsid w:val="00C70662"/>
    <w:rsid w:val="00C71EA1"/>
    <w:rsid w:val="00C73ED5"/>
    <w:rsid w:val="00C73F65"/>
    <w:rsid w:val="00C746EB"/>
    <w:rsid w:val="00C75D47"/>
    <w:rsid w:val="00C76CED"/>
    <w:rsid w:val="00C77A67"/>
    <w:rsid w:val="00C84CAA"/>
    <w:rsid w:val="00C85191"/>
    <w:rsid w:val="00C925C7"/>
    <w:rsid w:val="00C92988"/>
    <w:rsid w:val="00CA2977"/>
    <w:rsid w:val="00CA29DF"/>
    <w:rsid w:val="00CA30FE"/>
    <w:rsid w:val="00CA3C65"/>
    <w:rsid w:val="00CA3DFC"/>
    <w:rsid w:val="00CA48F4"/>
    <w:rsid w:val="00CA59A1"/>
    <w:rsid w:val="00CA5CC7"/>
    <w:rsid w:val="00CA759F"/>
    <w:rsid w:val="00CB1A11"/>
    <w:rsid w:val="00CB2A50"/>
    <w:rsid w:val="00CB4DB7"/>
    <w:rsid w:val="00CC27C2"/>
    <w:rsid w:val="00CC2D58"/>
    <w:rsid w:val="00CC36C5"/>
    <w:rsid w:val="00CC4361"/>
    <w:rsid w:val="00CC6E79"/>
    <w:rsid w:val="00CD1CEE"/>
    <w:rsid w:val="00CD4168"/>
    <w:rsid w:val="00CD75C7"/>
    <w:rsid w:val="00CE2F81"/>
    <w:rsid w:val="00CE38D9"/>
    <w:rsid w:val="00CE4000"/>
    <w:rsid w:val="00CE44D3"/>
    <w:rsid w:val="00CF3214"/>
    <w:rsid w:val="00CF405D"/>
    <w:rsid w:val="00D005F4"/>
    <w:rsid w:val="00D008C6"/>
    <w:rsid w:val="00D0153D"/>
    <w:rsid w:val="00D059BD"/>
    <w:rsid w:val="00D1525C"/>
    <w:rsid w:val="00D15F85"/>
    <w:rsid w:val="00D16052"/>
    <w:rsid w:val="00D16651"/>
    <w:rsid w:val="00D167C4"/>
    <w:rsid w:val="00D1714B"/>
    <w:rsid w:val="00D20C53"/>
    <w:rsid w:val="00D21BDC"/>
    <w:rsid w:val="00D2221D"/>
    <w:rsid w:val="00D2269C"/>
    <w:rsid w:val="00D2369E"/>
    <w:rsid w:val="00D27E94"/>
    <w:rsid w:val="00D309CA"/>
    <w:rsid w:val="00D30FEB"/>
    <w:rsid w:val="00D31BD4"/>
    <w:rsid w:val="00D32565"/>
    <w:rsid w:val="00D367CC"/>
    <w:rsid w:val="00D36803"/>
    <w:rsid w:val="00D4199F"/>
    <w:rsid w:val="00D4303B"/>
    <w:rsid w:val="00D43578"/>
    <w:rsid w:val="00D43CCD"/>
    <w:rsid w:val="00D44E84"/>
    <w:rsid w:val="00D458AC"/>
    <w:rsid w:val="00D462F6"/>
    <w:rsid w:val="00D47036"/>
    <w:rsid w:val="00D51560"/>
    <w:rsid w:val="00D51BA8"/>
    <w:rsid w:val="00D529C8"/>
    <w:rsid w:val="00D554AB"/>
    <w:rsid w:val="00D62D93"/>
    <w:rsid w:val="00D6304A"/>
    <w:rsid w:val="00D65769"/>
    <w:rsid w:val="00D7372C"/>
    <w:rsid w:val="00D73E94"/>
    <w:rsid w:val="00D73F8E"/>
    <w:rsid w:val="00D74F8E"/>
    <w:rsid w:val="00D75938"/>
    <w:rsid w:val="00D768C7"/>
    <w:rsid w:val="00D77429"/>
    <w:rsid w:val="00D8271B"/>
    <w:rsid w:val="00D95A8D"/>
    <w:rsid w:val="00D95D9E"/>
    <w:rsid w:val="00DA021A"/>
    <w:rsid w:val="00DA144D"/>
    <w:rsid w:val="00DA7EBB"/>
    <w:rsid w:val="00DB1C01"/>
    <w:rsid w:val="00DB52D7"/>
    <w:rsid w:val="00DC34F3"/>
    <w:rsid w:val="00DD1A97"/>
    <w:rsid w:val="00DD5647"/>
    <w:rsid w:val="00DD6A13"/>
    <w:rsid w:val="00DD74F0"/>
    <w:rsid w:val="00DE051A"/>
    <w:rsid w:val="00DE40D7"/>
    <w:rsid w:val="00DF0542"/>
    <w:rsid w:val="00DF2F91"/>
    <w:rsid w:val="00DF4FFC"/>
    <w:rsid w:val="00DF6F24"/>
    <w:rsid w:val="00E02142"/>
    <w:rsid w:val="00E13D5B"/>
    <w:rsid w:val="00E22077"/>
    <w:rsid w:val="00E24AE8"/>
    <w:rsid w:val="00E33B17"/>
    <w:rsid w:val="00E4094A"/>
    <w:rsid w:val="00E413B1"/>
    <w:rsid w:val="00E42618"/>
    <w:rsid w:val="00E45C52"/>
    <w:rsid w:val="00E50392"/>
    <w:rsid w:val="00E5638F"/>
    <w:rsid w:val="00E57315"/>
    <w:rsid w:val="00E613AD"/>
    <w:rsid w:val="00E62F2A"/>
    <w:rsid w:val="00E6572F"/>
    <w:rsid w:val="00E6766B"/>
    <w:rsid w:val="00E75878"/>
    <w:rsid w:val="00E76279"/>
    <w:rsid w:val="00E76943"/>
    <w:rsid w:val="00E77A24"/>
    <w:rsid w:val="00E80E6E"/>
    <w:rsid w:val="00E826A5"/>
    <w:rsid w:val="00E85387"/>
    <w:rsid w:val="00E90AB2"/>
    <w:rsid w:val="00E94493"/>
    <w:rsid w:val="00E96A9D"/>
    <w:rsid w:val="00E96CF9"/>
    <w:rsid w:val="00EA0788"/>
    <w:rsid w:val="00EA0DCF"/>
    <w:rsid w:val="00EA1766"/>
    <w:rsid w:val="00EA3259"/>
    <w:rsid w:val="00EB046E"/>
    <w:rsid w:val="00EB0C9D"/>
    <w:rsid w:val="00EB108A"/>
    <w:rsid w:val="00EB1F4C"/>
    <w:rsid w:val="00EB6394"/>
    <w:rsid w:val="00EC04CF"/>
    <w:rsid w:val="00EC1B5F"/>
    <w:rsid w:val="00EC2C24"/>
    <w:rsid w:val="00EC352F"/>
    <w:rsid w:val="00EC53F2"/>
    <w:rsid w:val="00EC57B3"/>
    <w:rsid w:val="00ED10FE"/>
    <w:rsid w:val="00ED1A9C"/>
    <w:rsid w:val="00ED4FCD"/>
    <w:rsid w:val="00ED7720"/>
    <w:rsid w:val="00EF1A8C"/>
    <w:rsid w:val="00EF3ED2"/>
    <w:rsid w:val="00EF5E91"/>
    <w:rsid w:val="00F00DE5"/>
    <w:rsid w:val="00F01EA9"/>
    <w:rsid w:val="00F021E7"/>
    <w:rsid w:val="00F026E9"/>
    <w:rsid w:val="00F07A56"/>
    <w:rsid w:val="00F1179A"/>
    <w:rsid w:val="00F11CD2"/>
    <w:rsid w:val="00F1700C"/>
    <w:rsid w:val="00F173D2"/>
    <w:rsid w:val="00F21714"/>
    <w:rsid w:val="00F27D84"/>
    <w:rsid w:val="00F30703"/>
    <w:rsid w:val="00F341A0"/>
    <w:rsid w:val="00F35321"/>
    <w:rsid w:val="00F40F05"/>
    <w:rsid w:val="00F44027"/>
    <w:rsid w:val="00F44668"/>
    <w:rsid w:val="00F4518A"/>
    <w:rsid w:val="00F5187C"/>
    <w:rsid w:val="00F613B5"/>
    <w:rsid w:val="00F62EB9"/>
    <w:rsid w:val="00F62F6C"/>
    <w:rsid w:val="00F64765"/>
    <w:rsid w:val="00F6503B"/>
    <w:rsid w:val="00F65336"/>
    <w:rsid w:val="00F67B6F"/>
    <w:rsid w:val="00F7198B"/>
    <w:rsid w:val="00F72801"/>
    <w:rsid w:val="00F73420"/>
    <w:rsid w:val="00F811B6"/>
    <w:rsid w:val="00F82E23"/>
    <w:rsid w:val="00F841F1"/>
    <w:rsid w:val="00F852F3"/>
    <w:rsid w:val="00F858B4"/>
    <w:rsid w:val="00F87526"/>
    <w:rsid w:val="00F95FC7"/>
    <w:rsid w:val="00F96237"/>
    <w:rsid w:val="00FA0529"/>
    <w:rsid w:val="00FA1A53"/>
    <w:rsid w:val="00FA2FB8"/>
    <w:rsid w:val="00FB4494"/>
    <w:rsid w:val="00FB5A31"/>
    <w:rsid w:val="00FC279D"/>
    <w:rsid w:val="00FC34DF"/>
    <w:rsid w:val="00FC37DC"/>
    <w:rsid w:val="00FC509B"/>
    <w:rsid w:val="00FD0BF0"/>
    <w:rsid w:val="00FE03D2"/>
    <w:rsid w:val="00FE1C1D"/>
    <w:rsid w:val="00FE4569"/>
    <w:rsid w:val="00FE542F"/>
    <w:rsid w:val="00FE6768"/>
    <w:rsid w:val="00FE6F89"/>
    <w:rsid w:val="00FE7467"/>
    <w:rsid w:val="00FF0577"/>
    <w:rsid w:val="010C1249"/>
    <w:rsid w:val="011896DF"/>
    <w:rsid w:val="01D25EC7"/>
    <w:rsid w:val="01F113BD"/>
    <w:rsid w:val="020315F6"/>
    <w:rsid w:val="0220F4E3"/>
    <w:rsid w:val="0250C583"/>
    <w:rsid w:val="03C256A2"/>
    <w:rsid w:val="0485D9E3"/>
    <w:rsid w:val="049992BB"/>
    <w:rsid w:val="04C0ECA1"/>
    <w:rsid w:val="056B5B43"/>
    <w:rsid w:val="05852485"/>
    <w:rsid w:val="05DFF524"/>
    <w:rsid w:val="06896A66"/>
    <w:rsid w:val="071D4244"/>
    <w:rsid w:val="08302596"/>
    <w:rsid w:val="083D1FA4"/>
    <w:rsid w:val="0A4A0253"/>
    <w:rsid w:val="0B30908C"/>
    <w:rsid w:val="0B34DC7B"/>
    <w:rsid w:val="0B53D3DE"/>
    <w:rsid w:val="0C1462C1"/>
    <w:rsid w:val="0C28DA62"/>
    <w:rsid w:val="0C67D238"/>
    <w:rsid w:val="0C8C0727"/>
    <w:rsid w:val="0C8F5CFC"/>
    <w:rsid w:val="0C9E8004"/>
    <w:rsid w:val="0CA3A27D"/>
    <w:rsid w:val="0CD189D3"/>
    <w:rsid w:val="0CF50BEE"/>
    <w:rsid w:val="0DDC5ABA"/>
    <w:rsid w:val="0E3EB013"/>
    <w:rsid w:val="0F4BB221"/>
    <w:rsid w:val="0F8B8403"/>
    <w:rsid w:val="11076C3B"/>
    <w:rsid w:val="114478C1"/>
    <w:rsid w:val="11497387"/>
    <w:rsid w:val="11AD31FA"/>
    <w:rsid w:val="120ABADC"/>
    <w:rsid w:val="12138020"/>
    <w:rsid w:val="1281448F"/>
    <w:rsid w:val="12F4F5F6"/>
    <w:rsid w:val="13217D37"/>
    <w:rsid w:val="1339C152"/>
    <w:rsid w:val="1360015C"/>
    <w:rsid w:val="137669DA"/>
    <w:rsid w:val="13F32053"/>
    <w:rsid w:val="1413ADF5"/>
    <w:rsid w:val="14398B1D"/>
    <w:rsid w:val="145A335F"/>
    <w:rsid w:val="14AFCAC3"/>
    <w:rsid w:val="14B25790"/>
    <w:rsid w:val="14B25B64"/>
    <w:rsid w:val="14BE8096"/>
    <w:rsid w:val="156E03B8"/>
    <w:rsid w:val="15AC3805"/>
    <w:rsid w:val="16582E34"/>
    <w:rsid w:val="165E9E25"/>
    <w:rsid w:val="17CF5980"/>
    <w:rsid w:val="17D1ED3C"/>
    <w:rsid w:val="184BD185"/>
    <w:rsid w:val="187EA4F6"/>
    <w:rsid w:val="18C4895C"/>
    <w:rsid w:val="19A57488"/>
    <w:rsid w:val="19C30EA1"/>
    <w:rsid w:val="1A6A2B90"/>
    <w:rsid w:val="1A7389BE"/>
    <w:rsid w:val="1AA8826A"/>
    <w:rsid w:val="1AB54E06"/>
    <w:rsid w:val="1AC8DCDC"/>
    <w:rsid w:val="1ACB0F47"/>
    <w:rsid w:val="1ACDA535"/>
    <w:rsid w:val="1AFCD03A"/>
    <w:rsid w:val="1B5162F9"/>
    <w:rsid w:val="1B55DA18"/>
    <w:rsid w:val="1B6E0F39"/>
    <w:rsid w:val="1B71F08F"/>
    <w:rsid w:val="1C998378"/>
    <w:rsid w:val="1CAD4C63"/>
    <w:rsid w:val="1CB3B0F3"/>
    <w:rsid w:val="1CB8BAA7"/>
    <w:rsid w:val="1CC58BD3"/>
    <w:rsid w:val="1CCE6FCC"/>
    <w:rsid w:val="1CD456BD"/>
    <w:rsid w:val="1D6D4104"/>
    <w:rsid w:val="1DF36738"/>
    <w:rsid w:val="1E7FA65E"/>
    <w:rsid w:val="1E9A0D6E"/>
    <w:rsid w:val="1EA6FB09"/>
    <w:rsid w:val="1EB39F42"/>
    <w:rsid w:val="1EBD9FB4"/>
    <w:rsid w:val="1F3BCB92"/>
    <w:rsid w:val="1F84D791"/>
    <w:rsid w:val="1FD8A09A"/>
    <w:rsid w:val="202B5089"/>
    <w:rsid w:val="202E9C68"/>
    <w:rsid w:val="20F42054"/>
    <w:rsid w:val="21548655"/>
    <w:rsid w:val="21A2E2D5"/>
    <w:rsid w:val="21B4D873"/>
    <w:rsid w:val="22D9F97D"/>
    <w:rsid w:val="22E4A05C"/>
    <w:rsid w:val="231AD981"/>
    <w:rsid w:val="232A1192"/>
    <w:rsid w:val="2344E44F"/>
    <w:rsid w:val="236D814E"/>
    <w:rsid w:val="23F37F0B"/>
    <w:rsid w:val="24E77EBF"/>
    <w:rsid w:val="24EE7901"/>
    <w:rsid w:val="24F15508"/>
    <w:rsid w:val="24FFB4D7"/>
    <w:rsid w:val="252E9893"/>
    <w:rsid w:val="2543697A"/>
    <w:rsid w:val="25549BC8"/>
    <w:rsid w:val="2562108F"/>
    <w:rsid w:val="256C2993"/>
    <w:rsid w:val="25B78014"/>
    <w:rsid w:val="2606109B"/>
    <w:rsid w:val="261B6EA2"/>
    <w:rsid w:val="262D649B"/>
    <w:rsid w:val="2633469D"/>
    <w:rsid w:val="266FC93E"/>
    <w:rsid w:val="26D24CB6"/>
    <w:rsid w:val="2703B6E4"/>
    <w:rsid w:val="27B2E535"/>
    <w:rsid w:val="27D8D57A"/>
    <w:rsid w:val="27F7FA45"/>
    <w:rsid w:val="2849A040"/>
    <w:rsid w:val="28BE8C98"/>
    <w:rsid w:val="294241C3"/>
    <w:rsid w:val="295990F8"/>
    <w:rsid w:val="29B26C4F"/>
    <w:rsid w:val="29F0AF81"/>
    <w:rsid w:val="2A5636E1"/>
    <w:rsid w:val="2ADBC6A7"/>
    <w:rsid w:val="2B1CE579"/>
    <w:rsid w:val="2BBBB20E"/>
    <w:rsid w:val="2BDA524E"/>
    <w:rsid w:val="2C28F394"/>
    <w:rsid w:val="2C5DB132"/>
    <w:rsid w:val="2CF921FC"/>
    <w:rsid w:val="2D653E7D"/>
    <w:rsid w:val="2E91133E"/>
    <w:rsid w:val="2F0BB806"/>
    <w:rsid w:val="2F13E7D2"/>
    <w:rsid w:val="2F5C2FF2"/>
    <w:rsid w:val="3008EE32"/>
    <w:rsid w:val="307E3410"/>
    <w:rsid w:val="308A4B84"/>
    <w:rsid w:val="309D2F4A"/>
    <w:rsid w:val="30C7A581"/>
    <w:rsid w:val="31B939F7"/>
    <w:rsid w:val="325DFB7C"/>
    <w:rsid w:val="32A1DA25"/>
    <w:rsid w:val="32B1643D"/>
    <w:rsid w:val="32C5A0E9"/>
    <w:rsid w:val="33160F3E"/>
    <w:rsid w:val="3336C282"/>
    <w:rsid w:val="337D746D"/>
    <w:rsid w:val="33CF3D4C"/>
    <w:rsid w:val="34114013"/>
    <w:rsid w:val="342BA743"/>
    <w:rsid w:val="3449F6B4"/>
    <w:rsid w:val="34C8D05F"/>
    <w:rsid w:val="350EC95D"/>
    <w:rsid w:val="3558B0B7"/>
    <w:rsid w:val="35D24915"/>
    <w:rsid w:val="35D7F553"/>
    <w:rsid w:val="361DE301"/>
    <w:rsid w:val="365B3938"/>
    <w:rsid w:val="36D26A70"/>
    <w:rsid w:val="36D4F855"/>
    <w:rsid w:val="37BCF8C1"/>
    <w:rsid w:val="37D76F95"/>
    <w:rsid w:val="38149355"/>
    <w:rsid w:val="38526FB8"/>
    <w:rsid w:val="38725149"/>
    <w:rsid w:val="38737D86"/>
    <w:rsid w:val="38E9955A"/>
    <w:rsid w:val="3931F589"/>
    <w:rsid w:val="39EA20C3"/>
    <w:rsid w:val="3A1448B8"/>
    <w:rsid w:val="3ACC7B22"/>
    <w:rsid w:val="3AEC8BCE"/>
    <w:rsid w:val="3B207B19"/>
    <w:rsid w:val="3B990940"/>
    <w:rsid w:val="3BD288D9"/>
    <w:rsid w:val="3BD4C441"/>
    <w:rsid w:val="3D13B231"/>
    <w:rsid w:val="3D6E6B8B"/>
    <w:rsid w:val="3DE25A25"/>
    <w:rsid w:val="3E6078B9"/>
    <w:rsid w:val="3EFAC423"/>
    <w:rsid w:val="3F53C0A4"/>
    <w:rsid w:val="3FDE28A2"/>
    <w:rsid w:val="3FE76BB3"/>
    <w:rsid w:val="3FF67472"/>
    <w:rsid w:val="40594F8D"/>
    <w:rsid w:val="40ACE264"/>
    <w:rsid w:val="4110B788"/>
    <w:rsid w:val="414580E4"/>
    <w:rsid w:val="414F7FDE"/>
    <w:rsid w:val="4222DA91"/>
    <w:rsid w:val="42A92474"/>
    <w:rsid w:val="4326BFE4"/>
    <w:rsid w:val="4422913A"/>
    <w:rsid w:val="44396D01"/>
    <w:rsid w:val="443A8555"/>
    <w:rsid w:val="45256806"/>
    <w:rsid w:val="45910A52"/>
    <w:rsid w:val="4648FACE"/>
    <w:rsid w:val="469F8A52"/>
    <w:rsid w:val="46A7A698"/>
    <w:rsid w:val="4724FCCB"/>
    <w:rsid w:val="47722890"/>
    <w:rsid w:val="484E4595"/>
    <w:rsid w:val="484FA923"/>
    <w:rsid w:val="49269EC8"/>
    <w:rsid w:val="49708A75"/>
    <w:rsid w:val="49BDC20F"/>
    <w:rsid w:val="4A2C3428"/>
    <w:rsid w:val="4A9D0AFB"/>
    <w:rsid w:val="4AA263C9"/>
    <w:rsid w:val="4AAFD5F2"/>
    <w:rsid w:val="4AEAB899"/>
    <w:rsid w:val="4B25D1AD"/>
    <w:rsid w:val="4B3233A7"/>
    <w:rsid w:val="4C1D8751"/>
    <w:rsid w:val="4CFF7487"/>
    <w:rsid w:val="4D96543F"/>
    <w:rsid w:val="4DC98479"/>
    <w:rsid w:val="4DFE3408"/>
    <w:rsid w:val="4E400EC1"/>
    <w:rsid w:val="4EBDCE0D"/>
    <w:rsid w:val="4ECA977C"/>
    <w:rsid w:val="4F3EEF18"/>
    <w:rsid w:val="4FF37EB5"/>
    <w:rsid w:val="5030C4E7"/>
    <w:rsid w:val="5063ADB6"/>
    <w:rsid w:val="50B6472A"/>
    <w:rsid w:val="50D3AE7C"/>
    <w:rsid w:val="50F0CB75"/>
    <w:rsid w:val="51717839"/>
    <w:rsid w:val="518D7D9F"/>
    <w:rsid w:val="51D4EC42"/>
    <w:rsid w:val="51DCDD4C"/>
    <w:rsid w:val="52285245"/>
    <w:rsid w:val="52AFFF9E"/>
    <w:rsid w:val="531EA80F"/>
    <w:rsid w:val="53D5CEDF"/>
    <w:rsid w:val="54D4CCE4"/>
    <w:rsid w:val="5524BDC5"/>
    <w:rsid w:val="55454153"/>
    <w:rsid w:val="554C2884"/>
    <w:rsid w:val="55E98190"/>
    <w:rsid w:val="5630127F"/>
    <w:rsid w:val="56367B13"/>
    <w:rsid w:val="5649DC89"/>
    <w:rsid w:val="564A83E8"/>
    <w:rsid w:val="564D8B33"/>
    <w:rsid w:val="5708A547"/>
    <w:rsid w:val="5726BF0F"/>
    <w:rsid w:val="573E7D96"/>
    <w:rsid w:val="5768D4A1"/>
    <w:rsid w:val="57B26E64"/>
    <w:rsid w:val="57FFD234"/>
    <w:rsid w:val="5840C2E5"/>
    <w:rsid w:val="58BDF06B"/>
    <w:rsid w:val="58BF115A"/>
    <w:rsid w:val="5926C3A3"/>
    <w:rsid w:val="592AB133"/>
    <w:rsid w:val="5969042D"/>
    <w:rsid w:val="5996B590"/>
    <w:rsid w:val="59A51532"/>
    <w:rsid w:val="59B72970"/>
    <w:rsid w:val="59ECA917"/>
    <w:rsid w:val="5A24C3CD"/>
    <w:rsid w:val="5A6A065D"/>
    <w:rsid w:val="5A861536"/>
    <w:rsid w:val="5B1A8FD6"/>
    <w:rsid w:val="5B47ECAE"/>
    <w:rsid w:val="5B811126"/>
    <w:rsid w:val="5BAB5F6C"/>
    <w:rsid w:val="5BC76152"/>
    <w:rsid w:val="5BD9FDBB"/>
    <w:rsid w:val="5CADA015"/>
    <w:rsid w:val="5CD23E39"/>
    <w:rsid w:val="5D1DA36D"/>
    <w:rsid w:val="5D653322"/>
    <w:rsid w:val="5D98BF0A"/>
    <w:rsid w:val="5E5E6254"/>
    <w:rsid w:val="5E62E9BD"/>
    <w:rsid w:val="5E824866"/>
    <w:rsid w:val="5E9E89CC"/>
    <w:rsid w:val="5EBB559B"/>
    <w:rsid w:val="5EDC3790"/>
    <w:rsid w:val="5FCEA36B"/>
    <w:rsid w:val="5FF043BA"/>
    <w:rsid w:val="602FE1EB"/>
    <w:rsid w:val="60DEBF95"/>
    <w:rsid w:val="618C051B"/>
    <w:rsid w:val="62D79159"/>
    <w:rsid w:val="635F0524"/>
    <w:rsid w:val="63A0DE41"/>
    <w:rsid w:val="63D7190E"/>
    <w:rsid w:val="63FB8182"/>
    <w:rsid w:val="646A0C1E"/>
    <w:rsid w:val="64836B7E"/>
    <w:rsid w:val="6488D4E6"/>
    <w:rsid w:val="649A843E"/>
    <w:rsid w:val="64D03522"/>
    <w:rsid w:val="6547B477"/>
    <w:rsid w:val="658FA54C"/>
    <w:rsid w:val="659BACEE"/>
    <w:rsid w:val="659BC362"/>
    <w:rsid w:val="6612067B"/>
    <w:rsid w:val="661DC926"/>
    <w:rsid w:val="66913643"/>
    <w:rsid w:val="6704902C"/>
    <w:rsid w:val="6735D70F"/>
    <w:rsid w:val="6755792D"/>
    <w:rsid w:val="6766ECAB"/>
    <w:rsid w:val="68671F07"/>
    <w:rsid w:val="686747AA"/>
    <w:rsid w:val="68F9958C"/>
    <w:rsid w:val="69281144"/>
    <w:rsid w:val="69DBBB4C"/>
    <w:rsid w:val="6A186EFD"/>
    <w:rsid w:val="6A676FA0"/>
    <w:rsid w:val="6A93CA19"/>
    <w:rsid w:val="6AC86EAD"/>
    <w:rsid w:val="6ADF6989"/>
    <w:rsid w:val="6AF8AB4A"/>
    <w:rsid w:val="6B297C98"/>
    <w:rsid w:val="6B2F5AFF"/>
    <w:rsid w:val="6B88DC55"/>
    <w:rsid w:val="6BAF4972"/>
    <w:rsid w:val="6C1E0612"/>
    <w:rsid w:val="6C501C78"/>
    <w:rsid w:val="6C9D2785"/>
    <w:rsid w:val="6D1C5DE3"/>
    <w:rsid w:val="6D315C02"/>
    <w:rsid w:val="6D470BC3"/>
    <w:rsid w:val="6D901A03"/>
    <w:rsid w:val="6D94E5B3"/>
    <w:rsid w:val="6E05FF40"/>
    <w:rsid w:val="6E7E7A85"/>
    <w:rsid w:val="6F342912"/>
    <w:rsid w:val="6F772B3E"/>
    <w:rsid w:val="6F7BEE2A"/>
    <w:rsid w:val="6F88A124"/>
    <w:rsid w:val="6FA403E7"/>
    <w:rsid w:val="6FCCA262"/>
    <w:rsid w:val="70234D7A"/>
    <w:rsid w:val="7042262E"/>
    <w:rsid w:val="7074EE90"/>
    <w:rsid w:val="70D6086C"/>
    <w:rsid w:val="7104DCEA"/>
    <w:rsid w:val="7180121E"/>
    <w:rsid w:val="71854AD9"/>
    <w:rsid w:val="71A6E441"/>
    <w:rsid w:val="71C0A7A4"/>
    <w:rsid w:val="71D2E77B"/>
    <w:rsid w:val="71D3F807"/>
    <w:rsid w:val="721BA689"/>
    <w:rsid w:val="72540970"/>
    <w:rsid w:val="727E2A05"/>
    <w:rsid w:val="7286C70F"/>
    <w:rsid w:val="72CC71D9"/>
    <w:rsid w:val="72DCB5B5"/>
    <w:rsid w:val="733C9363"/>
    <w:rsid w:val="734C64FB"/>
    <w:rsid w:val="7381470A"/>
    <w:rsid w:val="739896F1"/>
    <w:rsid w:val="74C2FB81"/>
    <w:rsid w:val="74CC68F7"/>
    <w:rsid w:val="7549538C"/>
    <w:rsid w:val="75679632"/>
    <w:rsid w:val="75A7BD84"/>
    <w:rsid w:val="75B779FE"/>
    <w:rsid w:val="75D08A28"/>
    <w:rsid w:val="75E8E82A"/>
    <w:rsid w:val="760D385E"/>
    <w:rsid w:val="767CAC4E"/>
    <w:rsid w:val="770A7064"/>
    <w:rsid w:val="771148DF"/>
    <w:rsid w:val="773F1AA4"/>
    <w:rsid w:val="777C0EB5"/>
    <w:rsid w:val="787E35D9"/>
    <w:rsid w:val="7891687F"/>
    <w:rsid w:val="78B64C5E"/>
    <w:rsid w:val="78BDF934"/>
    <w:rsid w:val="79563266"/>
    <w:rsid w:val="7A3D9971"/>
    <w:rsid w:val="7ACC85F8"/>
    <w:rsid w:val="7B12B441"/>
    <w:rsid w:val="7BA7FD00"/>
    <w:rsid w:val="7BBCD489"/>
    <w:rsid w:val="7BC48192"/>
    <w:rsid w:val="7C34D6FF"/>
    <w:rsid w:val="7C37459A"/>
    <w:rsid w:val="7C8DEAC7"/>
    <w:rsid w:val="7CA11BB3"/>
    <w:rsid w:val="7CA2F3CE"/>
    <w:rsid w:val="7CB6B690"/>
    <w:rsid w:val="7CEAD285"/>
    <w:rsid w:val="7D850F57"/>
    <w:rsid w:val="7D8B1DD3"/>
    <w:rsid w:val="7DC6287A"/>
    <w:rsid w:val="7DE11E8B"/>
    <w:rsid w:val="7E1F66A3"/>
    <w:rsid w:val="7E3D32B4"/>
    <w:rsid w:val="7E48FFD0"/>
    <w:rsid w:val="7EB3E74F"/>
    <w:rsid w:val="7ED022BF"/>
    <w:rsid w:val="7F8F344F"/>
    <w:rsid w:val="7FA7B95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1"/>
    <w:qFormat/>
    <w:uiPriority w:val="0"/>
    <w:pPr>
      <w:keepNext/>
      <w:widowControl/>
      <w:numPr>
        <w:ilvl w:val="0"/>
        <w:numId w:val="1"/>
      </w:numPr>
      <w:overflowPunct w:val="0"/>
      <w:autoSpaceDE w:val="0"/>
      <w:autoSpaceDN w:val="0"/>
      <w:adjustRightInd w:val="0"/>
      <w:snapToGrid w:val="0"/>
      <w:textAlignment w:val="baseline"/>
      <w:outlineLvl w:val="0"/>
    </w:pPr>
    <w:rPr>
      <w:rFonts w:eastAsia="PMingLiU"/>
      <w:vanish/>
      <w:color w:val="FFFFFF"/>
      <w:kern w:val="28"/>
      <w:sz w:val="22"/>
      <w:szCs w:val="20"/>
      <w:lang w:val="en-GB" w:eastAsia="zh-TW"/>
    </w:rPr>
  </w:style>
  <w:style w:type="paragraph" w:styleId="3">
    <w:name w:val="heading 2"/>
    <w:basedOn w:val="1"/>
    <w:link w:val="32"/>
    <w:qFormat/>
    <w:uiPriority w:val="0"/>
    <w:pPr>
      <w:keepNext/>
      <w:widowControl/>
      <w:numPr>
        <w:ilvl w:val="1"/>
        <w:numId w:val="1"/>
      </w:numPr>
      <w:overflowPunct w:val="0"/>
      <w:autoSpaceDE w:val="0"/>
      <w:autoSpaceDN w:val="0"/>
      <w:adjustRightInd w:val="0"/>
      <w:spacing w:after="240" w:line="360" w:lineRule="auto"/>
      <w:textAlignment w:val="baseline"/>
      <w:outlineLvl w:val="1"/>
    </w:pPr>
    <w:rPr>
      <w:rFonts w:ascii="Times New Roman Bold" w:hAnsi="Times New Roman Bold" w:eastAsia="PMingLiU"/>
      <w:b/>
      <w:kern w:val="0"/>
      <w:sz w:val="22"/>
      <w:szCs w:val="20"/>
      <w:lang w:val="en-GB" w:eastAsia="zh-TW"/>
    </w:rPr>
  </w:style>
  <w:style w:type="paragraph" w:styleId="4">
    <w:name w:val="heading 3"/>
    <w:basedOn w:val="1"/>
    <w:link w:val="33"/>
    <w:qFormat/>
    <w:uiPriority w:val="0"/>
    <w:pPr>
      <w:widowControl/>
      <w:numPr>
        <w:ilvl w:val="2"/>
        <w:numId w:val="1"/>
      </w:numPr>
      <w:overflowPunct w:val="0"/>
      <w:autoSpaceDE w:val="0"/>
      <w:autoSpaceDN w:val="0"/>
      <w:adjustRightInd w:val="0"/>
      <w:spacing w:after="240" w:line="360" w:lineRule="auto"/>
      <w:textAlignment w:val="baseline"/>
      <w:outlineLvl w:val="2"/>
    </w:pPr>
    <w:rPr>
      <w:rFonts w:eastAsia="PMingLiU"/>
      <w:kern w:val="0"/>
      <w:sz w:val="22"/>
      <w:szCs w:val="20"/>
      <w:lang w:val="en-GB" w:eastAsia="zh-TW"/>
    </w:rPr>
  </w:style>
  <w:style w:type="paragraph" w:styleId="5">
    <w:name w:val="heading 4"/>
    <w:basedOn w:val="1"/>
    <w:link w:val="34"/>
    <w:qFormat/>
    <w:uiPriority w:val="0"/>
    <w:pPr>
      <w:widowControl/>
      <w:numPr>
        <w:ilvl w:val="3"/>
        <w:numId w:val="1"/>
      </w:numPr>
      <w:overflowPunct w:val="0"/>
      <w:autoSpaceDE w:val="0"/>
      <w:autoSpaceDN w:val="0"/>
      <w:adjustRightInd w:val="0"/>
      <w:spacing w:after="240" w:line="360" w:lineRule="auto"/>
      <w:textAlignment w:val="baseline"/>
      <w:outlineLvl w:val="3"/>
    </w:pPr>
    <w:rPr>
      <w:rFonts w:eastAsia="PMingLiU"/>
      <w:kern w:val="0"/>
      <w:sz w:val="22"/>
      <w:szCs w:val="20"/>
      <w:lang w:val="en-GB" w:eastAsia="zh-TW"/>
    </w:rPr>
  </w:style>
  <w:style w:type="paragraph" w:styleId="6">
    <w:name w:val="heading 5"/>
    <w:basedOn w:val="1"/>
    <w:link w:val="35"/>
    <w:qFormat/>
    <w:uiPriority w:val="0"/>
    <w:pPr>
      <w:widowControl/>
      <w:numPr>
        <w:ilvl w:val="4"/>
        <w:numId w:val="1"/>
      </w:numPr>
      <w:overflowPunct w:val="0"/>
      <w:autoSpaceDE w:val="0"/>
      <w:autoSpaceDN w:val="0"/>
      <w:adjustRightInd w:val="0"/>
      <w:spacing w:after="240" w:line="360" w:lineRule="auto"/>
      <w:textAlignment w:val="baseline"/>
      <w:outlineLvl w:val="4"/>
    </w:pPr>
    <w:rPr>
      <w:rFonts w:eastAsia="PMingLiU"/>
      <w:kern w:val="0"/>
      <w:sz w:val="22"/>
      <w:szCs w:val="20"/>
      <w:lang w:val="en-GB" w:eastAsia="zh-TW"/>
    </w:rPr>
  </w:style>
  <w:style w:type="paragraph" w:styleId="7">
    <w:name w:val="heading 6"/>
    <w:basedOn w:val="6"/>
    <w:link w:val="36"/>
    <w:qFormat/>
    <w:uiPriority w:val="0"/>
    <w:pPr>
      <w:numPr>
        <w:ilvl w:val="5"/>
      </w:numPr>
      <w:tabs>
        <w:tab w:val="clear" w:pos="2880"/>
      </w:tabs>
      <w:outlineLvl w:val="5"/>
    </w:pPr>
  </w:style>
  <w:style w:type="paragraph" w:styleId="8">
    <w:name w:val="heading 7"/>
    <w:basedOn w:val="7"/>
    <w:link w:val="37"/>
    <w:qFormat/>
    <w:uiPriority w:val="0"/>
    <w:pPr>
      <w:numPr>
        <w:ilvl w:val="6"/>
      </w:numPr>
      <w:outlineLvl w:val="6"/>
    </w:pPr>
  </w:style>
  <w:style w:type="paragraph" w:styleId="9">
    <w:name w:val="heading 8"/>
    <w:basedOn w:val="1"/>
    <w:next w:val="1"/>
    <w:link w:val="38"/>
    <w:qFormat/>
    <w:uiPriority w:val="0"/>
    <w:pPr>
      <w:keepNext/>
      <w:widowControl/>
      <w:numPr>
        <w:ilvl w:val="7"/>
        <w:numId w:val="1"/>
      </w:numPr>
      <w:overflowPunct w:val="0"/>
      <w:autoSpaceDE w:val="0"/>
      <w:autoSpaceDN w:val="0"/>
      <w:adjustRightInd w:val="0"/>
      <w:spacing w:after="240" w:line="360" w:lineRule="auto"/>
      <w:jc w:val="center"/>
      <w:textAlignment w:val="baseline"/>
      <w:outlineLvl w:val="7"/>
    </w:pPr>
    <w:rPr>
      <w:rFonts w:eastAsia="PMingLiU"/>
      <w:b/>
      <w:caps/>
      <w:kern w:val="0"/>
      <w:sz w:val="22"/>
      <w:szCs w:val="20"/>
      <w:lang w:val="en-GB" w:eastAsia="zh-TW"/>
    </w:rPr>
  </w:style>
  <w:style w:type="paragraph" w:styleId="10">
    <w:name w:val="heading 9"/>
    <w:basedOn w:val="9"/>
    <w:next w:val="1"/>
    <w:link w:val="39"/>
    <w:qFormat/>
    <w:uiPriority w:val="0"/>
    <w:pPr>
      <w:numPr>
        <w:ilvl w:val="8"/>
      </w:numPr>
      <w:outlineLvl w:val="8"/>
    </w:pPr>
    <w:rPr>
      <w:caps w:val="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3"/>
    <w:unhideWhenUsed/>
    <w:qFormat/>
    <w:uiPriority w:val="0"/>
    <w:pPr>
      <w:jc w:val="left"/>
    </w:pPr>
  </w:style>
  <w:style w:type="paragraph" w:styleId="12">
    <w:name w:val="Body Text Indent"/>
    <w:basedOn w:val="1"/>
    <w:link w:val="40"/>
    <w:qFormat/>
    <w:uiPriority w:val="0"/>
    <w:pPr>
      <w:snapToGrid w:val="0"/>
      <w:spacing w:line="360" w:lineRule="auto"/>
      <w:ind w:firstLine="360" w:firstLineChars="200"/>
    </w:pPr>
    <w:rPr>
      <w:rFonts w:ascii="宋体" w:hAnsi="宋体"/>
      <w:sz w:val="18"/>
    </w:rPr>
  </w:style>
  <w:style w:type="paragraph" w:styleId="13">
    <w:name w:val="Plain Text"/>
    <w:basedOn w:val="1"/>
    <w:link w:val="29"/>
    <w:qFormat/>
    <w:uiPriority w:val="0"/>
    <w:pPr>
      <w:spacing w:beforeLines="50" w:afterLines="50" w:line="400" w:lineRule="atLeast"/>
    </w:pPr>
    <w:rPr>
      <w:rFonts w:ascii="宋体" w:hAnsi="Courier New" w:eastAsiaTheme="minorEastAsia" w:cstheme="minorBidi"/>
      <w:sz w:val="24"/>
    </w:rPr>
  </w:style>
  <w:style w:type="paragraph" w:styleId="14">
    <w:name w:val="Balloon Text"/>
    <w:basedOn w:val="1"/>
    <w:semiHidden/>
    <w:qFormat/>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2"/>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annotation subject"/>
    <w:basedOn w:val="11"/>
    <w:next w:val="11"/>
    <w:link w:val="44"/>
    <w:semiHidden/>
    <w:unhideWhenUsed/>
    <w:uiPriority w:val="0"/>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iPriority w:val="0"/>
    <w:rPr>
      <w:color w:val="0000FF"/>
      <w:u w:val="single"/>
    </w:rPr>
  </w:style>
  <w:style w:type="character" w:styleId="25">
    <w:name w:val="annotation reference"/>
    <w:basedOn w:val="22"/>
    <w:semiHidden/>
    <w:unhideWhenUsed/>
    <w:qFormat/>
    <w:uiPriority w:val="0"/>
    <w:rPr>
      <w:sz w:val="21"/>
      <w:szCs w:val="21"/>
    </w:rPr>
  </w:style>
  <w:style w:type="paragraph" w:customStyle="1" w:styleId="26">
    <w:name w:val="Char Char Char Char Char Char Char"/>
    <w:basedOn w:val="1"/>
    <w:uiPriority w:val="0"/>
  </w:style>
  <w:style w:type="paragraph" w:customStyle="1" w:styleId="27">
    <w:name w:val="Char Char1"/>
    <w:basedOn w:val="1"/>
    <w:uiPriority w:val="0"/>
    <w:rPr>
      <w:rFonts w:ascii="Tahoma" w:hAnsi="Tahoma"/>
      <w:sz w:val="24"/>
      <w:szCs w:val="20"/>
    </w:rPr>
  </w:style>
  <w:style w:type="character" w:customStyle="1" w:styleId="28">
    <w:name w:val="页眉 字符"/>
    <w:basedOn w:val="22"/>
    <w:link w:val="16"/>
    <w:qFormat/>
    <w:uiPriority w:val="0"/>
    <w:rPr>
      <w:kern w:val="2"/>
      <w:sz w:val="18"/>
      <w:szCs w:val="18"/>
    </w:rPr>
  </w:style>
  <w:style w:type="character" w:customStyle="1" w:styleId="29">
    <w:name w:val="纯文本 字符"/>
    <w:basedOn w:val="22"/>
    <w:link w:val="13"/>
    <w:qFormat/>
    <w:uiPriority w:val="0"/>
    <w:rPr>
      <w:rFonts w:ascii="宋体" w:hAnsi="Courier New" w:eastAsiaTheme="minorEastAsia" w:cstheme="minorBidi"/>
      <w:kern w:val="2"/>
      <w:sz w:val="24"/>
      <w:szCs w:val="24"/>
    </w:rPr>
  </w:style>
  <w:style w:type="character" w:customStyle="1" w:styleId="30">
    <w:name w:val="纯文本 字符1"/>
    <w:qFormat/>
    <w:uiPriority w:val="99"/>
    <w:rPr>
      <w:rFonts w:ascii="宋体" w:hAnsi="Courier New"/>
      <w:kern w:val="2"/>
      <w:sz w:val="24"/>
      <w:szCs w:val="24"/>
    </w:rPr>
  </w:style>
  <w:style w:type="character" w:customStyle="1" w:styleId="31">
    <w:name w:val="标题 1 字符"/>
    <w:basedOn w:val="22"/>
    <w:link w:val="2"/>
    <w:uiPriority w:val="0"/>
    <w:rPr>
      <w:rFonts w:eastAsia="PMingLiU"/>
      <w:vanish/>
      <w:color w:val="FFFFFF"/>
      <w:kern w:val="28"/>
      <w:sz w:val="22"/>
      <w:lang w:val="en-GB" w:eastAsia="zh-TW"/>
    </w:rPr>
  </w:style>
  <w:style w:type="character" w:customStyle="1" w:styleId="32">
    <w:name w:val="标题 2 字符"/>
    <w:basedOn w:val="22"/>
    <w:link w:val="3"/>
    <w:qFormat/>
    <w:uiPriority w:val="0"/>
    <w:rPr>
      <w:rFonts w:ascii="Times New Roman Bold" w:hAnsi="Times New Roman Bold" w:eastAsia="PMingLiU"/>
      <w:b/>
      <w:sz w:val="22"/>
      <w:lang w:val="en-GB" w:eastAsia="zh-TW"/>
    </w:rPr>
  </w:style>
  <w:style w:type="character" w:customStyle="1" w:styleId="33">
    <w:name w:val="标题 3 字符"/>
    <w:basedOn w:val="22"/>
    <w:link w:val="4"/>
    <w:qFormat/>
    <w:uiPriority w:val="0"/>
    <w:rPr>
      <w:rFonts w:eastAsia="PMingLiU"/>
      <w:sz w:val="22"/>
      <w:lang w:val="en-GB" w:eastAsia="zh-TW"/>
    </w:rPr>
  </w:style>
  <w:style w:type="character" w:customStyle="1" w:styleId="34">
    <w:name w:val="标题 4 字符"/>
    <w:basedOn w:val="22"/>
    <w:link w:val="5"/>
    <w:qFormat/>
    <w:uiPriority w:val="0"/>
    <w:rPr>
      <w:rFonts w:eastAsia="PMingLiU"/>
      <w:sz w:val="22"/>
      <w:lang w:val="en-GB" w:eastAsia="zh-TW"/>
    </w:rPr>
  </w:style>
  <w:style w:type="character" w:customStyle="1" w:styleId="35">
    <w:name w:val="标题 5 字符"/>
    <w:basedOn w:val="22"/>
    <w:link w:val="6"/>
    <w:qFormat/>
    <w:uiPriority w:val="0"/>
    <w:rPr>
      <w:rFonts w:eastAsia="PMingLiU"/>
      <w:sz w:val="22"/>
      <w:lang w:val="en-GB" w:eastAsia="zh-TW"/>
    </w:rPr>
  </w:style>
  <w:style w:type="character" w:customStyle="1" w:styleId="36">
    <w:name w:val="标题 6 字符"/>
    <w:basedOn w:val="22"/>
    <w:link w:val="7"/>
    <w:qFormat/>
    <w:uiPriority w:val="0"/>
    <w:rPr>
      <w:rFonts w:eastAsia="PMingLiU"/>
      <w:sz w:val="22"/>
      <w:lang w:val="en-GB" w:eastAsia="zh-TW"/>
    </w:rPr>
  </w:style>
  <w:style w:type="character" w:customStyle="1" w:styleId="37">
    <w:name w:val="标题 7 字符"/>
    <w:basedOn w:val="22"/>
    <w:link w:val="8"/>
    <w:qFormat/>
    <w:uiPriority w:val="0"/>
    <w:rPr>
      <w:rFonts w:eastAsia="PMingLiU"/>
      <w:sz w:val="22"/>
      <w:lang w:val="en-GB" w:eastAsia="zh-TW"/>
    </w:rPr>
  </w:style>
  <w:style w:type="character" w:customStyle="1" w:styleId="38">
    <w:name w:val="标题 8 字符"/>
    <w:basedOn w:val="22"/>
    <w:link w:val="9"/>
    <w:qFormat/>
    <w:uiPriority w:val="0"/>
    <w:rPr>
      <w:rFonts w:eastAsia="PMingLiU"/>
      <w:b/>
      <w:caps/>
      <w:sz w:val="22"/>
      <w:lang w:val="en-GB" w:eastAsia="zh-TW"/>
    </w:rPr>
  </w:style>
  <w:style w:type="character" w:customStyle="1" w:styleId="39">
    <w:name w:val="标题 9 字符"/>
    <w:basedOn w:val="22"/>
    <w:link w:val="10"/>
    <w:qFormat/>
    <w:uiPriority w:val="0"/>
    <w:rPr>
      <w:rFonts w:eastAsia="PMingLiU"/>
      <w:b/>
      <w:sz w:val="22"/>
      <w:lang w:val="en-GB" w:eastAsia="zh-TW"/>
    </w:rPr>
  </w:style>
  <w:style w:type="character" w:customStyle="1" w:styleId="40">
    <w:name w:val="正文文本缩进 字符"/>
    <w:basedOn w:val="22"/>
    <w:link w:val="12"/>
    <w:qFormat/>
    <w:uiPriority w:val="0"/>
    <w:rPr>
      <w:rFonts w:ascii="宋体" w:hAnsi="宋体"/>
      <w:kern w:val="2"/>
      <w:sz w:val="18"/>
      <w:szCs w:val="24"/>
    </w:rPr>
  </w:style>
  <w:style w:type="paragraph" w:styleId="41">
    <w:name w:val="List Paragraph"/>
    <w:basedOn w:val="1"/>
    <w:qFormat/>
    <w:uiPriority w:val="34"/>
    <w:pPr>
      <w:ind w:left="720"/>
      <w:contextualSpacing/>
    </w:pPr>
  </w:style>
  <w:style w:type="character" w:customStyle="1" w:styleId="42">
    <w:name w:val="副标题 字符"/>
    <w:basedOn w:val="22"/>
    <w:link w:val="17"/>
    <w:qFormat/>
    <w:uiPriority w:val="0"/>
    <w:rPr>
      <w:rFonts w:asciiTheme="minorHAnsi" w:hAnsiTheme="minorHAnsi" w:eastAsiaTheme="minorEastAsia" w:cstheme="minorBidi"/>
      <w:color w:val="595959" w:themeColor="text1" w:themeTint="A6"/>
      <w:spacing w:val="15"/>
      <w:kern w:val="2"/>
      <w:sz w:val="22"/>
      <w:szCs w:val="22"/>
      <w14:textFill>
        <w14:solidFill>
          <w14:schemeClr w14:val="tx1">
            <w14:lumMod w14:val="65000"/>
            <w14:lumOff w14:val="35000"/>
          </w14:schemeClr>
        </w14:solidFill>
      </w14:textFill>
    </w:rPr>
  </w:style>
  <w:style w:type="character" w:customStyle="1" w:styleId="43">
    <w:name w:val="批注文字 字符"/>
    <w:basedOn w:val="22"/>
    <w:link w:val="11"/>
    <w:uiPriority w:val="0"/>
    <w:rPr>
      <w:kern w:val="2"/>
      <w:sz w:val="21"/>
      <w:szCs w:val="24"/>
    </w:rPr>
  </w:style>
  <w:style w:type="character" w:customStyle="1" w:styleId="44">
    <w:name w:val="批注主题 字符"/>
    <w:basedOn w:val="43"/>
    <w:link w:val="19"/>
    <w:semiHidden/>
    <w:qFormat/>
    <w:uiPriority w:val="0"/>
    <w:rPr>
      <w:b/>
      <w:bCs/>
      <w:kern w:val="2"/>
      <w:sz w:val="21"/>
      <w:szCs w:val="24"/>
    </w:rPr>
  </w:style>
  <w:style w:type="character" w:customStyle="1" w:styleId="45">
    <w:name w:val="未处理的提及1"/>
    <w:basedOn w:val="22"/>
    <w:semiHidden/>
    <w:unhideWhenUsed/>
    <w:qFormat/>
    <w:uiPriority w:val="99"/>
    <w:rPr>
      <w:color w:val="605E5C"/>
      <w:shd w:val="clear" w:color="auto" w:fill="E1DFDD"/>
    </w:rPr>
  </w:style>
  <w:style w:type="paragraph" w:customStyle="1" w:styleId="46">
    <w:name w:val="paragraph"/>
    <w:basedOn w:val="1"/>
    <w:qFormat/>
    <w:uiPriority w:val="0"/>
    <w:pPr>
      <w:widowControl/>
      <w:spacing w:before="100" w:beforeAutospacing="1" w:after="100" w:afterAutospacing="1"/>
      <w:jc w:val="left"/>
    </w:pPr>
    <w:rPr>
      <w:rFonts w:eastAsia="Times New Roman"/>
      <w:kern w:val="0"/>
      <w:sz w:val="24"/>
    </w:rPr>
  </w:style>
  <w:style w:type="character" w:customStyle="1" w:styleId="47">
    <w:name w:val="normaltextrun"/>
    <w:basedOn w:val="22"/>
    <w:qFormat/>
    <w:uiPriority w:val="0"/>
  </w:style>
  <w:style w:type="character" w:customStyle="1" w:styleId="48">
    <w:name w:val="eop"/>
    <w:basedOn w:val="22"/>
    <w:qFormat/>
    <w:uiPriority w:val="0"/>
  </w:style>
  <w:style w:type="paragraph" w:customStyle="1" w:styleId="49">
    <w:name w:val="Body"/>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0">
    <w:name w:val="纯文本1"/>
    <w:basedOn w:val="1"/>
    <w:qFormat/>
    <w:uiPriority w:val="0"/>
    <w:pPr>
      <w:widowControl/>
      <w:jc w:val="left"/>
    </w:pPr>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bcf02-7330-4e64-95e9-e9294929d068">
      <Terms xmlns="http://schemas.microsoft.com/office/infopath/2007/PartnerControls"/>
    </lcf76f155ced4ddcb4097134ff3c332f>
    <TaxCatchAll xmlns="50beeb7b-383b-4c7b-a12c-44a4ba852d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52B1FF1F2E664FA735D87ADE854CE3" ma:contentTypeVersion="19" ma:contentTypeDescription="Create a new document." ma:contentTypeScope="" ma:versionID="98e506f20da1c433ed1531b79deb8ee0">
  <xsd:schema xmlns:xsd="http://www.w3.org/2001/XMLSchema" xmlns:xs="http://www.w3.org/2001/XMLSchema" xmlns:p="http://schemas.microsoft.com/office/2006/metadata/properties" xmlns:ns2="7febcf02-7330-4e64-95e9-e9294929d068" xmlns:ns3="50beeb7b-383b-4c7b-a12c-44a4ba852def" targetNamespace="http://schemas.microsoft.com/office/2006/metadata/properties" ma:root="true" ma:fieldsID="6748b6084ab08ab73e531ee49896cb64" ns2:_="" ns3:_="">
    <xsd:import namespace="7febcf02-7330-4e64-95e9-e9294929d068"/>
    <xsd:import namespace="50beeb7b-383b-4c7b-a12c-44a4ba852d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cf02-7330-4e64-95e9-e9294929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95ae64-9a29-4c67-839c-ad9210f5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eeb7b-383b-4c7b-a12c-44a4ba852d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2f2a4d-ea69-4c83-8721-b6f0056d9455}" ma:internalName="TaxCatchAll" ma:showField="CatchAllData" ma:web="50beeb7b-383b-4c7b-a12c-44a4ba852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859EF-DEF1-46E2-86CC-3FC034A9383A}">
  <ds:schemaRefs/>
</ds:datastoreItem>
</file>

<file path=customXml/itemProps2.xml><?xml version="1.0" encoding="utf-8"?>
<ds:datastoreItem xmlns:ds="http://schemas.openxmlformats.org/officeDocument/2006/customXml" ds:itemID="{E703592B-E96E-4653-8568-461E5CCA365A}">
  <ds:schemaRefs/>
</ds:datastoreItem>
</file>

<file path=customXml/itemProps3.xml><?xml version="1.0" encoding="utf-8"?>
<ds:datastoreItem xmlns:ds="http://schemas.openxmlformats.org/officeDocument/2006/customXml" ds:itemID="{F0AD399E-9B41-4C4F-BD6D-43AC31AE6A4C}">
  <ds:schemaRefs/>
</ds:datastoreItem>
</file>

<file path=customXml/itemProps4.xml><?xml version="1.0" encoding="utf-8"?>
<ds:datastoreItem xmlns:ds="http://schemas.openxmlformats.org/officeDocument/2006/customXml" ds:itemID="{37289CC0-D4CF-4CF4-B8F8-B4FCF16991F9}">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27</Pages>
  <Words>5209</Words>
  <Characters>5400</Characters>
  <TotalTime>3</TotalTime>
  <ScaleCrop>false</ScaleCrop>
  <LinksUpToDate>false</LinksUpToDate>
  <CharactersWithSpaces>5544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2021-11-02T07:51:00Z</dcterms:created>
  <dc:creator>雨林木风</dc:creator>
  <cp:lastModifiedBy>宗翠君</cp:lastModifiedBy>
  <cp:lastPrinted>2025-05-28T16:36:00Z</cp:lastPrinted>
  <dcterms:modified xsi:type="dcterms:W3CDTF">2025-07-09T13:07:36Z</dcterms:modified>
  <dc:title>浙江铁建绿城丽水江滨项目</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0x0101007652B1FF1F2E664FA735D87ADE854CE3</vt:lpwstr>
  </property>
  <property fmtid="{D5CDD505-2E9C-101B-9397-08002B2CF9AE}" pid="3" name="MediaServiceImageTags">
    <vt:lpwstr/>
  </property>
  <property fmtid="{D5CDD505-2E9C-101B-9397-08002B2CF9AE}" pid="4" name="KSOTemplateDocerSaveRecord">
    <vt:lpwstr>eyJoZGlkIjoiMjUzYmYzZTY3NmMyNmI5Nzk0ZWE1MDFjNGNlY2M4NzgifQ==</vt:lpwstr>
  </property>
  <property fmtid="{D5CDD505-2E9C-101B-9397-08002B2CF9AE}" pid="5" name="KSOProductBuildVer">
    <vt:lpwstr>2052-12.1.0.21915</vt:lpwstr>
  </property>
  <property fmtid="{D5CDD505-2E9C-101B-9397-08002B2CF9AE}" pid="6" name="ICV">
    <vt:lpwstr>39ED67DB9A8E4D9595BD29C086CFDE35_12</vt:lpwstr>
  </property>
</Properties>
</file>